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footer2.xml.rels" ContentType="application/vnd.openxmlformats-package.relationships+xml"/>
  <Override PartName="/word/_rels/footer3.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0"/>
        <w:spacing w:lineRule="auto" w:line="358" w:before="0" w:after="3"/>
        <w:ind w:end="348"/>
        <w:jc w:val="center"/>
        <w:rPr>
          <w:b/>
          <w:sz w:val="18"/>
          <w:szCs w:val="18"/>
        </w:rPr>
      </w:pPr>
      <w:r>
        <w:rPr>
          <w:b/>
          <w:sz w:val="18"/>
          <w:szCs w:val="18"/>
        </w:rPr>
        <w:t>SANCTION LETTER</w:t>
      </w:r>
    </w:p>
    <w:p>
      <w:pPr>
        <w:pStyle w:val="normal0"/>
        <w:spacing w:lineRule="auto" w:line="240"/>
        <w:jc w:val="both"/>
        <w:rPr>
          <w:color w:val="000000"/>
          <w:sz w:val="18"/>
          <w:szCs w:val="18"/>
        </w:rPr>
      </w:pPr>
      <w:r>
        <w:rPr>
          <w:color w:val="000000"/>
          <w:sz w:val="18"/>
          <w:szCs w:val="18"/>
        </w:rPr>
      </w:r>
    </w:p>
    <w:p>
      <w:pPr>
        <w:pStyle w:val="normal0"/>
        <w:spacing w:lineRule="auto" w:line="240"/>
        <w:jc w:val="both"/>
        <w:rPr>
          <w:sz w:val="18"/>
          <w:szCs w:val="18"/>
        </w:rPr>
      </w:pPr>
      <w:r>
        <w:rPr>
          <w:sz w:val="18"/>
          <w:szCs w:val="18"/>
        </w:rPr>
        <w:t>{{kfsData.terms.proposalDate}}</w:t>
      </w:r>
    </w:p>
    <w:p>
      <w:pPr>
        <w:pStyle w:val="normal0"/>
        <w:spacing w:lineRule="auto" w:line="240"/>
        <w:jc w:val="both"/>
        <w:rPr>
          <w:color w:val="000000"/>
          <w:sz w:val="18"/>
          <w:szCs w:val="18"/>
        </w:rPr>
      </w:pPr>
      <w:r>
        <w:rPr>
          <w:color w:val="000000"/>
          <w:sz w:val="18"/>
          <w:szCs w:val="18"/>
        </w:rPr>
      </w:r>
    </w:p>
    <w:p>
      <w:pPr>
        <w:pStyle w:val="normal0"/>
        <w:spacing w:lineRule="auto" w:line="240"/>
        <w:jc w:val="both"/>
        <w:rPr>
          <w:color w:val="000000"/>
          <w:sz w:val="18"/>
          <w:szCs w:val="18"/>
        </w:rPr>
      </w:pPr>
      <w:r>
        <w:rPr>
          <w:color w:val="000000"/>
          <w:sz w:val="18"/>
          <w:szCs w:val="18"/>
        </w:rPr>
        <w:t xml:space="preserve">Application Form No: </w:t>
      </w:r>
      <w:r>
        <w:rPr>
          <w:sz w:val="18"/>
          <w:szCs w:val="18"/>
        </w:rPr>
        <w:t>{{opportunityId}}</w:t>
      </w:r>
    </w:p>
    <w:p>
      <w:pPr>
        <w:pStyle w:val="normal0"/>
        <w:spacing w:lineRule="auto" w:line="240"/>
        <w:jc w:val="both"/>
        <w:rPr>
          <w:color w:val="000000"/>
          <w:sz w:val="18"/>
          <w:szCs w:val="18"/>
        </w:rPr>
      </w:pPr>
      <w:r>
        <w:rPr>
          <w:color w:val="000000"/>
          <w:sz w:val="18"/>
          <w:szCs w:val="18"/>
        </w:rPr>
      </w:r>
    </w:p>
    <w:p>
      <w:pPr>
        <w:pStyle w:val="normal0"/>
        <w:spacing w:lineRule="auto" w:line="240"/>
        <w:jc w:val="both"/>
        <w:rPr>
          <w:sz w:val="18"/>
          <w:szCs w:val="18"/>
        </w:rPr>
      </w:pPr>
      <w:r>
        <w:rPr>
          <w:sz w:val="18"/>
          <w:szCs w:val="18"/>
        </w:rPr>
        <w:t xml:space="preserve">To, </w:t>
      </w:r>
    </w:p>
    <w:p>
      <w:pPr>
        <w:pStyle w:val="normal0"/>
        <w:spacing w:lineRule="auto" w:line="240"/>
        <w:jc w:val="both"/>
        <w:rPr>
          <w:sz w:val="18"/>
          <w:szCs w:val="18"/>
        </w:rPr>
      </w:pPr>
      <w:r>
        <w:rPr>
          <w:sz w:val="18"/>
          <w:szCs w:val="18"/>
        </w:rPr>
      </w:r>
    </w:p>
    <w:p>
      <w:pPr>
        <w:pStyle w:val="normal0"/>
        <w:spacing w:lineRule="auto" w:line="240"/>
        <w:jc w:val="both"/>
        <w:rPr>
          <w:sz w:val="18"/>
          <w:szCs w:val="18"/>
        </w:rPr>
      </w:pPr>
      <w:r>
        <w:rPr>
          <w:sz w:val="18"/>
          <w:szCs w:val="18"/>
        </w:rPr>
        <w:t>{{salutation}} {{name}}, as primary borrower</w:t>
      </w:r>
    </w:p>
    <w:p>
      <w:pPr>
        <w:pStyle w:val="normal0"/>
        <w:spacing w:lineRule="auto" w:line="240"/>
        <w:jc w:val="both"/>
        <w:rPr>
          <w:sz w:val="18"/>
          <w:szCs w:val="18"/>
        </w:rPr>
      </w:pPr>
      <w:r>
        <w:rPr>
          <w:sz w:val="18"/>
          <w:szCs w:val="18"/>
        </w:rPr>
        <w:t xml:space="preserve">NA, as co-borrower 1 </w:t>
      </w:r>
    </w:p>
    <w:p>
      <w:pPr>
        <w:pStyle w:val="normal0"/>
        <w:spacing w:lineRule="auto" w:line="240"/>
        <w:jc w:val="both"/>
        <w:rPr>
          <w:sz w:val="18"/>
          <w:szCs w:val="18"/>
        </w:rPr>
      </w:pPr>
      <w:r>
        <w:rPr>
          <w:sz w:val="18"/>
          <w:szCs w:val="18"/>
        </w:rPr>
        <w:t xml:space="preserve">NA, as co-borrower 2 </w:t>
      </w:r>
    </w:p>
    <w:p>
      <w:pPr>
        <w:pStyle w:val="normal0"/>
        <w:spacing w:lineRule="auto" w:line="240"/>
        <w:jc w:val="both"/>
        <w:rPr>
          <w:sz w:val="18"/>
          <w:szCs w:val="18"/>
        </w:rPr>
      </w:pPr>
      <w:r>
        <w:rPr>
          <w:sz w:val="18"/>
          <w:szCs w:val="18"/>
        </w:rPr>
      </w:r>
    </w:p>
    <w:p>
      <w:pPr>
        <w:pStyle w:val="normal0"/>
        <w:spacing w:lineRule="auto" w:line="240"/>
        <w:rPr>
          <w:b/>
          <w:sz w:val="18"/>
          <w:szCs w:val="18"/>
        </w:rPr>
      </w:pPr>
      <w:r>
        <w:rPr>
          <w:b/>
          <w:sz w:val="18"/>
          <w:szCs w:val="18"/>
        </w:rPr>
      </w:r>
    </w:p>
    <w:p>
      <w:pPr>
        <w:pStyle w:val="normal0"/>
        <w:spacing w:lineRule="auto" w:line="240"/>
        <w:jc w:val="center"/>
        <w:rPr>
          <w:b/>
          <w:color w:val="222222"/>
          <w:sz w:val="18"/>
          <w:szCs w:val="18"/>
          <w:highlight w:val="white"/>
          <w:u w:val="single"/>
        </w:rPr>
      </w:pPr>
      <w:r>
        <w:rPr>
          <w:b/>
          <w:color w:val="222222"/>
          <w:sz w:val="18"/>
          <w:szCs w:val="18"/>
          <w:highlight w:val="white"/>
          <w:u w:val="single"/>
        </w:rPr>
        <w:t xml:space="preserve">Subject: Sanction Letter – Loan against Securities   </w:t>
      </w:r>
    </w:p>
    <w:p>
      <w:pPr>
        <w:pStyle w:val="normal0"/>
        <w:spacing w:lineRule="auto" w:line="240"/>
        <w:rPr>
          <w:b/>
          <w:sz w:val="18"/>
          <w:szCs w:val="18"/>
          <w:u w:val="single"/>
        </w:rPr>
      </w:pPr>
      <w:r>
        <w:rPr>
          <w:b/>
          <w:sz w:val="18"/>
          <w:szCs w:val="18"/>
          <w:u w:val="single"/>
        </w:rPr>
      </w:r>
    </w:p>
    <w:p>
      <w:pPr>
        <w:pStyle w:val="normal0"/>
        <w:numPr>
          <w:ilvl w:val="0"/>
          <w:numId w:val="1"/>
        </w:numPr>
        <w:pBdr/>
        <w:spacing w:lineRule="auto" w:line="240"/>
        <w:ind w:hanging="720" w:start="720"/>
        <w:jc w:val="both"/>
        <w:rPr>
          <w:color w:val="000000"/>
          <w:sz w:val="18"/>
          <w:szCs w:val="18"/>
        </w:rPr>
      </w:pPr>
      <w:r>
        <w:rPr>
          <w:color w:val="000000"/>
          <w:sz w:val="18"/>
          <w:szCs w:val="18"/>
        </w:rPr>
        <w:t>We, DSP Finance Private Limited (formerly known as DSP Investment Managers Private Limited) (“</w:t>
      </w:r>
      <w:r>
        <w:rPr>
          <w:b/>
          <w:color w:val="000000"/>
          <w:sz w:val="18"/>
          <w:szCs w:val="18"/>
        </w:rPr>
        <w:t>DSP Finance</w:t>
      </w:r>
      <w:r>
        <w:rPr>
          <w:color w:val="000000"/>
          <w:sz w:val="18"/>
          <w:szCs w:val="18"/>
        </w:rPr>
        <w:t>” or “</w:t>
      </w:r>
      <w:r>
        <w:rPr>
          <w:b/>
          <w:color w:val="000000"/>
          <w:sz w:val="18"/>
          <w:szCs w:val="18"/>
        </w:rPr>
        <w:t>Lender</w:t>
      </w:r>
      <w:r>
        <w:rPr>
          <w:color w:val="000000"/>
          <w:sz w:val="18"/>
          <w:szCs w:val="18"/>
        </w:rPr>
        <w:t>”), thank you for the application form filled and submitted by you requesting DSP Finance to grant a loan against securities (“</w:t>
      </w:r>
      <w:r>
        <w:rPr>
          <w:b/>
          <w:color w:val="000000"/>
          <w:sz w:val="18"/>
          <w:szCs w:val="18"/>
        </w:rPr>
        <w:t>Facility</w:t>
      </w:r>
      <w:r>
        <w:rPr>
          <w:color w:val="000000"/>
          <w:sz w:val="18"/>
          <w:szCs w:val="18"/>
        </w:rPr>
        <w:t>”).</w:t>
      </w:r>
    </w:p>
    <w:p>
      <w:pPr>
        <w:pStyle w:val="normal0"/>
        <w:pBdr/>
        <w:spacing w:lineRule="auto" w:line="240"/>
        <w:ind w:start="720"/>
        <w:jc w:val="both"/>
        <w:rPr>
          <w:color w:val="000000"/>
          <w:sz w:val="18"/>
          <w:szCs w:val="18"/>
        </w:rPr>
      </w:pPr>
      <w:r>
        <w:rPr>
          <w:color w:val="000000"/>
          <w:sz w:val="18"/>
          <w:szCs w:val="18"/>
        </w:rPr>
      </w:r>
    </w:p>
    <w:p>
      <w:pPr>
        <w:pStyle w:val="normal0"/>
        <w:numPr>
          <w:ilvl w:val="0"/>
          <w:numId w:val="1"/>
        </w:numPr>
        <w:pBdr/>
        <w:spacing w:lineRule="auto" w:line="240"/>
        <w:ind w:hanging="720" w:start="720"/>
        <w:jc w:val="both"/>
        <w:rPr>
          <w:color w:val="000000"/>
          <w:sz w:val="18"/>
          <w:szCs w:val="18"/>
        </w:rPr>
      </w:pPr>
      <w:r>
        <w:rPr>
          <w:color w:val="000000"/>
          <w:sz w:val="18"/>
          <w:szCs w:val="18"/>
        </w:rPr>
        <w:t>Pursuant to the review of your application form, we are pleased to issue this in-principle sanction letter containing indicative terms and conditions of the proposed Facility to be granted to you (“</w:t>
      </w:r>
      <w:r>
        <w:rPr>
          <w:b/>
          <w:color w:val="000000"/>
          <w:sz w:val="18"/>
          <w:szCs w:val="18"/>
        </w:rPr>
        <w:t>Sanction Letter</w:t>
      </w:r>
      <w:r>
        <w:rPr>
          <w:color w:val="000000"/>
          <w:sz w:val="18"/>
          <w:szCs w:val="18"/>
        </w:rPr>
        <w:t>”), as more particularly specified in the Annexure.</w:t>
      </w:r>
    </w:p>
    <w:p>
      <w:pPr>
        <w:pStyle w:val="normal0"/>
        <w:spacing w:lineRule="auto" w:line="240"/>
        <w:jc w:val="both"/>
        <w:rPr>
          <w:color w:val="000000"/>
          <w:sz w:val="18"/>
          <w:szCs w:val="18"/>
        </w:rPr>
      </w:pPr>
      <w:r>
        <w:rPr>
          <w:color w:val="000000"/>
          <w:sz w:val="18"/>
          <w:szCs w:val="18"/>
        </w:rPr>
      </w:r>
    </w:p>
    <w:p>
      <w:pPr>
        <w:pStyle w:val="normal0"/>
        <w:numPr>
          <w:ilvl w:val="0"/>
          <w:numId w:val="1"/>
        </w:numPr>
        <w:pBdr/>
        <w:spacing w:lineRule="auto" w:line="240"/>
        <w:ind w:hanging="720" w:start="720"/>
        <w:jc w:val="both"/>
        <w:rPr>
          <w:color w:val="000000"/>
          <w:sz w:val="18"/>
          <w:szCs w:val="18"/>
        </w:rPr>
      </w:pPr>
      <w:r>
        <w:rPr>
          <w:color w:val="000000"/>
          <w:sz w:val="18"/>
          <w:szCs w:val="18"/>
        </w:rPr>
        <w:t xml:space="preserve">This Sanction Letter is valid for 3 days from the date of this Sanction Letter; DSP Finance reserves its right to cancel and repudiate or not act on this Sanction Letter anytime within this 3 days period, without notice and without giving any reason to the Obligor(s). This Sanction Letter shall not be construed as a commitment from DSP Finance or any of its affiliates or service providers or agents or business partners to enter into any financing transactions with the Obligor(s) or to grant any loan facility to the Obligor(s) or to arrange any financing for the Obligor(s). </w:t>
      </w:r>
    </w:p>
    <w:p>
      <w:pPr>
        <w:pStyle w:val="normal0"/>
        <w:widowControl w:val="false"/>
        <w:pBdr/>
        <w:spacing w:lineRule="auto" w:line="240" w:before="8" w:after="0"/>
        <w:rPr>
          <w:b/>
          <w:color w:val="000000"/>
          <w:sz w:val="18"/>
          <w:szCs w:val="18"/>
        </w:rPr>
      </w:pPr>
      <w:r>
        <w:rPr>
          <w:b/>
          <w:color w:val="000000"/>
          <w:sz w:val="18"/>
          <w:szCs w:val="18"/>
        </w:rPr>
      </w:r>
    </w:p>
    <w:p>
      <w:pPr>
        <w:pStyle w:val="normal0"/>
        <w:widowControl w:val="false"/>
        <w:pBdr/>
        <w:spacing w:lineRule="auto" w:line="240" w:before="8" w:after="0"/>
        <w:rPr>
          <w:b/>
          <w:color w:val="000000"/>
          <w:sz w:val="18"/>
          <w:szCs w:val="18"/>
        </w:rPr>
      </w:pPr>
      <w:r>
        <w:rPr>
          <w:b/>
          <w:color w:val="000000"/>
          <w:sz w:val="18"/>
          <w:szCs w:val="18"/>
        </w:rPr>
      </w:r>
    </w:p>
    <w:p>
      <w:pPr>
        <w:pStyle w:val="normal0"/>
        <w:widowControl w:val="false"/>
        <w:pBdr/>
        <w:spacing w:lineRule="auto" w:line="240"/>
        <w:jc w:val="center"/>
        <w:rPr>
          <w:b/>
          <w:color w:val="000000"/>
          <w:sz w:val="18"/>
          <w:szCs w:val="18"/>
        </w:rPr>
      </w:pPr>
      <w:r>
        <w:rPr>
          <w:b/>
          <w:color w:val="000000"/>
          <w:sz w:val="18"/>
          <w:szCs w:val="18"/>
        </w:rPr>
        <w:t>Annexure</w:t>
      </w:r>
    </w:p>
    <w:p>
      <w:pPr>
        <w:pStyle w:val="normal0"/>
        <w:widowControl w:val="false"/>
        <w:pBdr/>
        <w:spacing w:lineRule="auto" w:line="240"/>
        <w:ind w:start="169"/>
        <w:jc w:val="center"/>
        <w:rPr>
          <w:b/>
          <w:color w:val="000000"/>
          <w:sz w:val="18"/>
          <w:szCs w:val="18"/>
        </w:rPr>
      </w:pPr>
      <w:r>
        <w:rPr>
          <w:b/>
          <w:color w:val="000000"/>
          <w:sz w:val="18"/>
          <w:szCs w:val="18"/>
        </w:rPr>
        <w:t>Terms and conditions of the sanction</w:t>
      </w:r>
    </w:p>
    <w:p>
      <w:pPr>
        <w:pStyle w:val="normal0"/>
        <w:widowControl w:val="false"/>
        <w:pBdr/>
        <w:spacing w:lineRule="auto" w:line="240"/>
        <w:rPr>
          <w:b/>
          <w:i/>
          <w:i/>
          <w:color w:val="000000"/>
          <w:sz w:val="18"/>
          <w:szCs w:val="18"/>
        </w:rPr>
      </w:pPr>
      <w:r>
        <w:rPr>
          <w:b/>
          <w:i/>
          <w:color w:val="000000"/>
          <w:sz w:val="18"/>
          <w:szCs w:val="18"/>
        </w:rPr>
      </w:r>
    </w:p>
    <w:tbl>
      <w:tblPr>
        <w:tblStyle w:val="style4114"/>
        <w:tblW w:w="9836" w:type="dxa"/>
        <w:jc w:val="start"/>
        <w:tblInd w:w="137" w:type="dxa"/>
        <w:tblLayout w:type="fixed"/>
        <w:tblCellMar>
          <w:top w:w="0" w:type="dxa"/>
          <w:start w:w="115" w:type="dxa"/>
          <w:bottom w:w="0" w:type="dxa"/>
          <w:end w:w="115" w:type="dxa"/>
        </w:tblCellMar>
        <w:tblLook w:val="0400" w:noVBand="1" w:noHBand="0" w:lastColumn="0" w:firstColumn="0" w:lastRow="0" w:firstRow="0"/>
      </w:tblPr>
      <w:tblGrid>
        <w:gridCol w:w="3458"/>
        <w:gridCol w:w="4049"/>
        <w:gridCol w:w="2329"/>
      </w:tblGrid>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Details of Obligor(s)</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a) Name : {{name}}</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Primary borrower</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Co-borrower 1</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:Co-borrower 2</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{{name}}</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Security provider 1</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Security provider 2</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Security provider 3</w:t>
            </w:r>
          </w:p>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spacing w:lineRule="auto" w:line="290" w:before="0" w:after="140"/>
              <w:jc w:val="both"/>
              <w:rPr>
                <w:sz w:val="18"/>
                <w:szCs w:val="18"/>
              </w:rPr>
            </w:pPr>
            <w:r>
              <w:rPr>
                <w:rFonts w:eastAsia="Arial" w:cs="Arial"/>
                <w:kern w:val="0"/>
                <w:sz w:val="18"/>
                <w:szCs w:val="18"/>
                <w:lang w:eastAsia="en-US" w:bidi="ar-SA"/>
              </w:rPr>
              <w:t>a) Name : NA</w:t>
            </w:r>
          </w:p>
          <w:p>
            <w:pPr>
              <w:pStyle w:val="normal0"/>
              <w:widowControl/>
              <w:spacing w:lineRule="auto" w:line="290" w:before="0" w:after="140"/>
              <w:jc w:val="both"/>
              <w:rPr>
                <w:sz w:val="18"/>
                <w:szCs w:val="18"/>
              </w:rPr>
            </w:pPr>
            <w:r>
              <w:rPr>
                <w:rFonts w:eastAsia="Arial" w:cs="Arial"/>
                <w:kern w:val="0"/>
                <w:sz w:val="18"/>
                <w:szCs w:val="18"/>
                <w:lang w:eastAsia="en-US" w:bidi="ar-SA"/>
              </w:rPr>
              <w:t>b) Applicant type : Guarantor</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 xml:space="preserve">Facility value limit </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INR {{kfsData.terms.creditLimit.inNumber}}</w:t>
            </w:r>
            <w:r>
              <w:rPr>
                <w:rFonts w:eastAsia="MS Gothic" w:cs="MS Gothic" w:ascii="MS Gothic" w:hAnsi="MS Gothic"/>
                <w:kern w:val="0"/>
                <w:sz w:val="18"/>
                <w:szCs w:val="18"/>
                <w:lang w:eastAsia="en-US" w:bidi="ar-SA"/>
              </w:rPr>
              <w:t>  </w:t>
            </w:r>
            <w:r>
              <w:rPr>
                <w:rFonts w:eastAsia="Arial" w:cs="Arial"/>
                <w:kern w:val="0"/>
                <w:sz w:val="18"/>
                <w:szCs w:val="18"/>
                <w:lang w:eastAsia="en-US" w:bidi="ar-SA"/>
              </w:rPr>
              <w:t>(Indian Rupees {{kfsData.terms.creditLimit.inWords}})</w:t>
            </w:r>
            <w:r>
              <w:rPr>
                <w:rFonts w:eastAsia="MS Gothic" w:cs="MS Gothic" w:ascii="MS Gothic" w:hAnsi="MS Gothic"/>
                <w:kern w:val="0"/>
                <w:sz w:val="18"/>
                <w:szCs w:val="18"/>
                <w:lang w:eastAsia="en-US" w:bidi="ar-SA"/>
              </w:rPr>
              <w:t> </w:t>
            </w:r>
          </w:p>
          <w:p>
            <w:pPr>
              <w:pStyle w:val="normal0"/>
              <w:widowControl/>
              <w:spacing w:lineRule="auto" w:line="276" w:before="0" w:after="140"/>
              <w:jc w:val="both"/>
              <w:rPr>
                <w:sz w:val="18"/>
                <w:szCs w:val="18"/>
              </w:rPr>
            </w:pPr>
            <w:r>
              <w:rPr>
                <w:rFonts w:eastAsia="Arial" w:cs="Arial"/>
                <w:kern w:val="0"/>
                <w:sz w:val="18"/>
                <w:szCs w:val="18"/>
                <w:lang w:eastAsia="en-US" w:bidi="ar-SA"/>
              </w:rP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pPr>
              <w:pStyle w:val="normal0"/>
              <w:widowControl/>
              <w:spacing w:lineRule="auto" w:line="276" w:before="0" w:after="140"/>
              <w:jc w:val="both"/>
              <w:rPr>
                <w:sz w:val="18"/>
                <w:szCs w:val="18"/>
              </w:rPr>
            </w:pPr>
            <w:r>
              <w:rPr>
                <w:rFonts w:eastAsia="Arial" w:cs="Arial"/>
                <w:kern w:val="0"/>
                <w:sz w:val="18"/>
                <w:szCs w:val="18"/>
                <w:lang w:eastAsia="en-US" w:bidi="ar-SA"/>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End-Use</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u w:val="single"/>
                <w:lang w:eastAsia="en-US" w:bidi="ar-SA"/>
              </w:rPr>
              <w:t>{{endUse}}</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Tenure</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 xml:space="preserve">Initial tenure of {{kfsData.terms.months}} months {{kfsData.terms.days}} days from the effective date and will be reviewed at the end of every 6-months at the sole discretion of the Lender, with a right available to the Lender to revise the terms of the Facility and with a right available to the Obligor(s) to prepay the Facility if the revised terms are not acceptable without any foreclosure charges. </w:t>
            </w:r>
          </w:p>
          <w:p>
            <w:pPr>
              <w:pStyle w:val="normal0"/>
              <w:widowControl/>
              <w:spacing w:lineRule="auto" w:line="276" w:before="0" w:after="140"/>
              <w:jc w:val="both"/>
              <w:rPr>
                <w:sz w:val="18"/>
                <w:szCs w:val="18"/>
              </w:rPr>
            </w:pPr>
            <w:r>
              <w:rPr>
                <w:rFonts w:eastAsia="Arial" w:cs="Arial"/>
                <w:kern w:val="0"/>
                <w:sz w:val="18"/>
                <w:szCs w:val="18"/>
                <w:lang w:eastAsia="en-US" w:bidi="ar-SA"/>
              </w:rPr>
              <w:t xml:space="preserve">The Lender has the right to review the Facility on a six-monthly basis. </w:t>
            </w:r>
          </w:p>
          <w:p>
            <w:pPr>
              <w:pStyle w:val="normal0"/>
              <w:widowControl/>
              <w:spacing w:lineRule="auto" w:line="276" w:before="0" w:after="140"/>
              <w:jc w:val="both"/>
              <w:rPr>
                <w:sz w:val="18"/>
                <w:szCs w:val="18"/>
              </w:rPr>
            </w:pPr>
            <w:r>
              <w:rPr>
                <w:rFonts w:eastAsia="Arial" w:cs="Arial"/>
                <w:kern w:val="0"/>
                <w:sz w:val="18"/>
                <w:szCs w:val="18"/>
                <w:lang w:eastAsia="en-US" w:bidi="ar-SA"/>
              </w:rPr>
              <w:t>After the expiry of the initial tenure, the Facility may be rolled-over in the manner as set out in the Facility documents.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Interest Rate – Type and annualized rate of interest (per annum)</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both"/>
              <w:rPr>
                <w:sz w:val="18"/>
                <w:szCs w:val="18"/>
              </w:rPr>
            </w:pPr>
            <w:r>
              <w:rPr>
                <w:rFonts w:eastAsia="Arial" w:cs="Arial"/>
                <w:kern w:val="0"/>
                <w:sz w:val="18"/>
                <w:szCs w:val="18"/>
                <w:lang w:eastAsia="en-US" w:bidi="ar-SA"/>
              </w:rPr>
              <w:t>Floating rate of interest linked to DSP Finance’s Internal Benchmark Lending Rate (“</w:t>
            </w:r>
            <w:r>
              <w:rPr>
                <w:rFonts w:eastAsia="Arial" w:cs="Arial"/>
                <w:b/>
                <w:kern w:val="0"/>
                <w:sz w:val="18"/>
                <w:szCs w:val="18"/>
                <w:lang w:eastAsia="en-US" w:bidi="ar-SA"/>
              </w:rPr>
              <w:t>IBLR</w:t>
            </w:r>
            <w:r>
              <w:rPr>
                <w:rFonts w:eastAsia="Arial" w:cs="Arial"/>
                <w:kern w:val="0"/>
                <w:sz w:val="18"/>
                <w:szCs w:val="18"/>
                <w:lang w:eastAsia="en-US" w:bidi="ar-SA"/>
              </w:rPr>
              <w:t>”).</w:t>
            </w:r>
          </w:p>
          <w:p>
            <w:pPr>
              <w:pStyle w:val="normal0"/>
              <w:widowControl/>
              <w:spacing w:lineRule="auto" w:line="276" w:before="0" w:after="0"/>
              <w:jc w:val="both"/>
              <w:rPr>
                <w:sz w:val="18"/>
                <w:szCs w:val="18"/>
              </w:rPr>
            </w:pPr>
            <w:r>
              <w:rPr>
                <w:rFonts w:eastAsia="Arial" w:cs="Arial"/>
                <w:kern w:val="0"/>
                <w:sz w:val="18"/>
                <w:szCs w:val="18"/>
                <w:lang w:eastAsia="en-US" w:bidi="ar-SA"/>
              </w:rPr>
              <w:t>As on date of this Sanction Letter, the interest rate on the Facility is {{kfsData.interestDetails.interestRate}}%* per annum, being equal to DSP Finance IBLR + Spread.</w:t>
            </w:r>
          </w:p>
          <w:p>
            <w:pPr>
              <w:pStyle w:val="normal0"/>
              <w:widowControl/>
              <w:spacing w:lineRule="auto" w:line="276" w:before="0" w:after="0"/>
              <w:jc w:val="both"/>
              <w:rPr>
                <w:sz w:val="18"/>
                <w:szCs w:val="18"/>
              </w:rPr>
            </w:pPr>
            <w:r>
              <w:rPr>
                <w:rFonts w:eastAsia="Arial" w:cs="Arial"/>
                <w:kern w:val="0"/>
                <w:sz w:val="18"/>
                <w:szCs w:val="18"/>
                <w:lang w:eastAsia="en-US" w:bidi="ar-SA"/>
              </w:rPr>
              <w:t>DSP Finance IBLR – {{kfsData.interestDetails.benchmarkRate}}% p.a.</w:t>
            </w:r>
          </w:p>
          <w:p>
            <w:pPr>
              <w:pStyle w:val="normal0"/>
              <w:widowControl/>
              <w:spacing w:lineRule="auto" w:line="276" w:before="0" w:after="0"/>
              <w:jc w:val="both"/>
              <w:rPr>
                <w:sz w:val="18"/>
                <w:szCs w:val="18"/>
              </w:rPr>
            </w:pPr>
            <w:r>
              <w:rPr>
                <w:rFonts w:eastAsia="Arial" w:cs="Arial"/>
                <w:kern w:val="0"/>
                <w:sz w:val="18"/>
                <w:szCs w:val="18"/>
                <w:lang w:eastAsia="en-US" w:bidi="ar-SA"/>
              </w:rPr>
              <w:t xml:space="preserve">Spread – {{kfsData.interestDetails.spread}}% p.a. </w:t>
            </w:r>
          </w:p>
          <w:p>
            <w:pPr>
              <w:pStyle w:val="normal0"/>
              <w:widowControl/>
              <w:spacing w:lineRule="auto" w:line="276" w:before="0" w:after="0"/>
              <w:jc w:val="both"/>
              <w:rPr>
                <w:sz w:val="18"/>
                <w:szCs w:val="18"/>
              </w:rPr>
            </w:pPr>
            <w:r>
              <w:rPr>
                <w:rFonts w:eastAsia="Arial" w:cs="Arial"/>
                <w:kern w:val="0"/>
                <w:sz w:val="18"/>
                <w:szCs w:val="18"/>
                <w:lang w:eastAsia="en-US" w:bidi="ar-SA"/>
              </w:rPr>
              <w:t>Interest rate will be reset on a monthly basis.</w:t>
            </w:r>
          </w:p>
          <w:p>
            <w:pPr>
              <w:pStyle w:val="normal0"/>
              <w:widowControl/>
              <w:spacing w:lineRule="auto" w:line="276" w:before="0" w:after="0"/>
              <w:jc w:val="both"/>
              <w:rPr>
                <w:i/>
                <w:i/>
                <w:sz w:val="18"/>
                <w:szCs w:val="18"/>
              </w:rPr>
            </w:pPr>
            <w:r>
              <w:rPr>
                <w:rFonts w:eastAsia="Arial" w:cs="Arial"/>
                <w:i/>
                <w:kern w:val="0"/>
                <w:sz w:val="18"/>
                <w:szCs w:val="18"/>
                <w:lang w:eastAsia="en-US" w:bidi="ar-SA"/>
              </w:rPr>
              <w:t>* Subject to applicable law, the interest rate will vary from time to time basis, among other things, the change in the DSP Finance IBLR and Spread; the directions issued by the RBI or other governmental authorities; the credit rating/credit score of the borrower(s); the behaviour, market condition, performance and profile of the borrower(s); and the Lender’s internal policies.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Interest rate methodology</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The IBLR represent the minimum rate chargeable for a specific product and specific customer segments, irrespective of the risk attached thereto. IBLR will be arrived at after considering the cost of funds, the return on capital employed, the tenor premium and liquidity premium as per market conditions, the operating costs, the liquidity and statutory costs and ALM mismatch cost.</w:t>
            </w:r>
          </w:p>
          <w:p>
            <w:pPr>
              <w:pStyle w:val="normal0"/>
              <w:widowControl/>
              <w:spacing w:lineRule="auto" w:line="290" w:before="0" w:after="140"/>
              <w:jc w:val="both"/>
              <w:rPr>
                <w:sz w:val="18"/>
                <w:szCs w:val="18"/>
              </w:rPr>
            </w:pPr>
            <w:r>
              <w:rPr>
                <w:rFonts w:eastAsia="Arial" w:cs="Arial"/>
                <w:kern w:val="0"/>
                <w:sz w:val="18"/>
                <w:szCs w:val="18"/>
                <w:lang w:eastAsia="en-US" w:bidi="ar-SA"/>
              </w:rPr>
              <w:t>The spread is intended to cover potential credit loss risk, and will be determined based on the general economic conditions, profile of the Obligor(s), source of income, geographical location, ticket size of the Facility, tenure of the relationship, rating of the Obligor(s), credit score of the Obligor(s), past repayment track record, end use of the Facility, repayment capacity based on income/cash flows and other financial commitments of the Obligor(s), quality of collateral, interest, default risk in related business segment and the structure of the Facility.</w:t>
            </w:r>
          </w:p>
          <w:p>
            <w:pPr>
              <w:pStyle w:val="normal0"/>
              <w:widowControl/>
              <w:spacing w:lineRule="auto" w:line="290" w:before="0" w:after="140"/>
              <w:jc w:val="both"/>
              <w:rPr>
                <w:sz w:val="18"/>
                <w:szCs w:val="18"/>
              </w:rPr>
            </w:pPr>
            <w:r>
              <w:rPr>
                <w:rFonts w:eastAsia="Arial" w:cs="Arial"/>
                <w:kern w:val="0"/>
                <w:sz w:val="18"/>
                <w:szCs w:val="18"/>
                <w:lang w:eastAsia="en-US" w:bidi="ar-SA"/>
              </w:rPr>
              <w:t>The interest rate for the Facility availed during same period by different borrower(s) need not be standardized and could vary for different borrower(s) depending upon consideration of any or combination of above factors.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Processing fee</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The Borrower(s) shall pay a one-time, non-refundable processing fees of ₹{{kfsData.applicableFees.processingFees.baseFee.value}} plus GST to the Lender immediately upon execution of the Facility Documents and shall be due and payable on the Effective Date.</w:t>
            </w:r>
          </w:p>
          <w:p>
            <w:pPr>
              <w:pStyle w:val="normal0"/>
              <w:widowControl w:val="false"/>
              <w:spacing w:lineRule="auto" w:line="276" w:before="96" w:after="0"/>
              <w:jc w:val="both"/>
              <w:rPr>
                <w:sz w:val="18"/>
                <w:szCs w:val="18"/>
              </w:rPr>
            </w:pPr>
            <w:r>
              <w:rPr>
                <w:rFonts w:eastAsia="Arial" w:cs="Arial"/>
                <w:kern w:val="0"/>
                <w:sz w:val="18"/>
                <w:szCs w:val="18"/>
                <w:lang w:eastAsia="en-US" w:bidi="ar-SA"/>
              </w:rPr>
              <w:t xml:space="preserve"> </w:t>
            </w:r>
          </w:p>
          <w:p>
            <w:pPr>
              <w:pStyle w:val="normal0"/>
              <w:widowControl/>
              <w:spacing w:lineRule="auto" w:line="290" w:before="0" w:after="140"/>
              <w:jc w:val="both"/>
              <w:rPr>
                <w:sz w:val="18"/>
                <w:szCs w:val="18"/>
              </w:rPr>
            </w:pPr>
            <w:r>
              <w:rPr>
                <w:rFonts w:eastAsia="Arial" w:cs="Arial"/>
                <w:kern w:val="0"/>
                <w:sz w:val="18"/>
                <w:szCs w:val="18"/>
                <w:lang w:eastAsia="en-US" w:bidi="ar-SA"/>
              </w:rPr>
              <w:t>Where a drawdown under the Facility has been made by the Borrower(s), the Lender shall deduct the processing fee from the principal amount disbursed under the Facility and disburse the net amount to (or as per the instruction of) the Borrower(s) and notify  the same to the Borrower(s) at the time of disbursement of the Facility.</w:t>
            </w:r>
          </w:p>
        </w:tc>
      </w:tr>
      <w:tr>
        <w:trPr/>
        <w:tc>
          <w:tcPr>
            <w:tcW w:w="3458" w:type="dxa"/>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Installment details</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start"/>
              <w:rPr>
                <w:b/>
                <w:sz w:val="18"/>
                <w:szCs w:val="18"/>
              </w:rPr>
            </w:pPr>
            <w:r>
              <w:rPr>
                <w:rFonts w:eastAsia="Arial" w:cs="Arial"/>
                <w:b/>
                <w:kern w:val="0"/>
                <w:sz w:val="18"/>
                <w:szCs w:val="18"/>
                <w:lang w:eastAsia="en-US" w:bidi="ar-SA"/>
              </w:rPr>
              <w:t>Interest repayment:</w:t>
            </w:r>
          </w:p>
          <w:p>
            <w:pPr>
              <w:pStyle w:val="normal0"/>
              <w:widowControl/>
              <w:numPr>
                <w:ilvl w:val="2"/>
                <w:numId w:val="8"/>
              </w:numPr>
              <w:pBdr/>
              <w:spacing w:lineRule="auto" w:line="290" w:before="0" w:after="140"/>
              <w:jc w:val="start"/>
              <w:rPr>
                <w:color w:val="000000"/>
              </w:rPr>
            </w:pPr>
            <w:r>
              <w:rPr>
                <w:rFonts w:eastAsia="Arial" w:cs="Arial"/>
                <w:b/>
                <w:color w:val="000000"/>
                <w:kern w:val="0"/>
                <w:sz w:val="18"/>
                <w:szCs w:val="18"/>
                <w:lang w:eastAsia="en-US" w:bidi="ar-SA"/>
              </w:rPr>
              <w:t>Amount:</w:t>
            </w:r>
            <w:r>
              <w:rPr>
                <w:rFonts w:eastAsia="Arial" w:cs="Arial"/>
                <w:color w:val="000000"/>
                <w:kern w:val="0"/>
                <w:sz w:val="18"/>
                <w:szCs w:val="18"/>
                <w:lang w:eastAsia="en-US" w:bidi="ar-SA"/>
              </w:rPr>
              <w:t xml:space="preserve"> Interest payable is calculated Outstanding Principal at the end of each day</w:t>
            </w:r>
          </w:p>
          <w:p>
            <w:pPr>
              <w:pStyle w:val="normal0"/>
              <w:widowControl/>
              <w:numPr>
                <w:ilvl w:val="2"/>
                <w:numId w:val="8"/>
              </w:numPr>
              <w:pBdr/>
              <w:spacing w:lineRule="auto" w:line="290" w:before="0" w:after="140"/>
              <w:jc w:val="start"/>
              <w:rPr>
                <w:color w:val="000000"/>
              </w:rPr>
            </w:pPr>
            <w:r>
              <w:rPr>
                <w:rFonts w:eastAsia="Arial" w:cs="Arial"/>
                <w:b/>
                <w:color w:val="000000"/>
                <w:kern w:val="0"/>
                <w:sz w:val="18"/>
                <w:szCs w:val="18"/>
                <w:lang w:eastAsia="en-US" w:bidi="ar-SA"/>
              </w:rPr>
              <w:t>Frequency:</w:t>
            </w:r>
            <w:r>
              <w:rPr>
                <w:rFonts w:eastAsia="Arial" w:cs="Arial"/>
                <w:color w:val="000000"/>
                <w:kern w:val="0"/>
                <w:sz w:val="18"/>
                <w:szCs w:val="18"/>
                <w:lang w:eastAsia="en-US" w:bidi="ar-SA"/>
              </w:rPr>
              <w:t xml:space="preserve"> Monthly, or such other frequency as may be communicated by the Lender to the Borrower(s) from time to time.</w:t>
            </w:r>
          </w:p>
          <w:p>
            <w:pPr>
              <w:pStyle w:val="normal0"/>
              <w:widowControl/>
              <w:numPr>
                <w:ilvl w:val="2"/>
                <w:numId w:val="8"/>
              </w:numPr>
              <w:pBdr/>
              <w:spacing w:lineRule="auto" w:line="290" w:before="0" w:after="140"/>
              <w:jc w:val="start"/>
              <w:rPr>
                <w:color w:val="000000"/>
              </w:rPr>
            </w:pPr>
            <w:r>
              <w:rPr>
                <w:rFonts w:eastAsia="Arial" w:cs="Arial"/>
                <w:b/>
                <w:color w:val="000000"/>
                <w:kern w:val="0"/>
                <w:sz w:val="18"/>
                <w:szCs w:val="18"/>
                <w:lang w:eastAsia="en-US" w:bidi="ar-SA"/>
              </w:rPr>
              <w:t xml:space="preserve">Billing date: </w:t>
            </w:r>
            <w:r>
              <w:rPr>
                <w:rFonts w:eastAsia="Arial" w:cs="Arial"/>
                <w:color w:val="000000"/>
                <w:kern w:val="0"/>
                <w:sz w:val="18"/>
                <w:szCs w:val="18"/>
                <w:lang w:eastAsia="en-US" w:bidi="ar-SA"/>
              </w:rPr>
              <w:t>{{kfsData.installmentDetails.billingDate}}, or such other date as may be communicated by the Lender to the Borrower(s) from time to time.</w:t>
            </w:r>
          </w:p>
          <w:p>
            <w:pPr>
              <w:pStyle w:val="normal0"/>
              <w:widowControl/>
              <w:numPr>
                <w:ilvl w:val="2"/>
                <w:numId w:val="8"/>
              </w:numPr>
              <w:pBdr/>
              <w:spacing w:lineRule="auto" w:line="290" w:before="0" w:after="140"/>
              <w:jc w:val="start"/>
              <w:rPr>
                <w:color w:val="000000"/>
              </w:rPr>
            </w:pPr>
            <w:r>
              <w:rPr>
                <w:rFonts w:eastAsia="Arial" w:cs="Arial"/>
                <w:b/>
                <w:color w:val="000000"/>
                <w:kern w:val="0"/>
                <w:sz w:val="18"/>
                <w:szCs w:val="18"/>
                <w:lang w:eastAsia="en-US" w:bidi="ar-SA"/>
              </w:rPr>
              <w:t>Due Date:</w:t>
            </w:r>
            <w:r>
              <w:rPr>
                <w:rFonts w:eastAsia="Arial" w:cs="Arial"/>
                <w:color w:val="000000"/>
                <w:kern w:val="0"/>
                <w:sz w:val="18"/>
                <w:szCs w:val="18"/>
                <w:lang w:eastAsia="en-US" w:bidi="ar-SA"/>
              </w:rPr>
              <w:t xml:space="preserve"> {{kfsData.installmentDetails.dueDate}}, or such other date as may be communicated by the Lender to the Borrower(s) from time to time.</w:t>
            </w:r>
          </w:p>
          <w:p>
            <w:pPr>
              <w:pStyle w:val="normal0"/>
              <w:widowControl/>
              <w:numPr>
                <w:ilvl w:val="2"/>
                <w:numId w:val="8"/>
              </w:numPr>
              <w:pBdr/>
              <w:spacing w:lineRule="auto" w:line="290" w:before="0" w:after="140"/>
              <w:jc w:val="start"/>
              <w:rPr>
                <w:color w:val="000000"/>
              </w:rPr>
            </w:pPr>
            <w:r>
              <w:rPr>
                <w:rFonts w:eastAsia="Arial" w:cs="Arial"/>
                <w:b/>
                <w:color w:val="000000"/>
                <w:kern w:val="0"/>
                <w:sz w:val="18"/>
                <w:szCs w:val="18"/>
                <w:lang w:eastAsia="en-US" w:bidi="ar-SA"/>
              </w:rPr>
              <w:t>No.</w:t>
            </w:r>
            <w:r>
              <w:rPr>
                <w:rFonts w:eastAsia="Arial" w:cs="Arial"/>
                <w:color w:val="000000"/>
                <w:kern w:val="0"/>
                <w:sz w:val="18"/>
                <w:szCs w:val="18"/>
                <w:lang w:eastAsia="en-US" w:bidi="ar-SA"/>
              </w:rPr>
              <w:t xml:space="preserve"> </w:t>
            </w:r>
            <w:r>
              <w:rPr>
                <w:rFonts w:eastAsia="Arial" w:cs="Arial"/>
                <w:b/>
                <w:color w:val="000000"/>
                <w:kern w:val="0"/>
                <w:sz w:val="18"/>
                <w:szCs w:val="18"/>
                <w:lang w:eastAsia="en-US" w:bidi="ar-SA"/>
              </w:rPr>
              <w:t>of instalments:</w:t>
            </w:r>
            <w:r>
              <w:rPr>
                <w:rFonts w:eastAsia="Arial" w:cs="Arial"/>
                <w:color w:val="000000"/>
                <w:kern w:val="0"/>
                <w:sz w:val="18"/>
                <w:szCs w:val="18"/>
                <w:lang w:eastAsia="en-US" w:bidi="ar-SA"/>
              </w:rPr>
              <w:t xml:space="preserve"> {{kfsData.installmentDetails.totalInstallments}}, or such number of instalments as may be communicated by the Lender to the Borrower(s) from time to time.</w:t>
            </w:r>
          </w:p>
          <w:p>
            <w:pPr>
              <w:pStyle w:val="normal0"/>
              <w:widowControl/>
              <w:spacing w:lineRule="auto" w:line="290" w:before="0" w:after="140"/>
              <w:jc w:val="both"/>
              <w:rPr>
                <w:sz w:val="18"/>
                <w:szCs w:val="18"/>
              </w:rPr>
            </w:pPr>
            <w:r>
              <w:rPr>
                <w:rFonts w:eastAsia="Arial" w:cs="Arial"/>
                <w:kern w:val="0"/>
                <w:sz w:val="18"/>
                <w:szCs w:val="18"/>
                <w:lang w:eastAsia="en-US" w:bidi="ar-SA"/>
              </w:rPr>
              <w:t>Commencement of repayment: 1st day of the month immediately following the date of first disbursement, or such other date as may be communicated by the Lender to the Borrower(s) from time to time.</w:t>
            </w:r>
          </w:p>
        </w:tc>
      </w:tr>
      <w:tr>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Principal repayment:</w:t>
            </w:r>
          </w:p>
          <w:p>
            <w:pPr>
              <w:pStyle w:val="normal0"/>
              <w:widowControl/>
              <w:numPr>
                <w:ilvl w:val="0"/>
                <w:numId w:val="7"/>
              </w:numPr>
              <w:pBdr/>
              <w:spacing w:lineRule="auto" w:line="290" w:before="0" w:after="0"/>
              <w:jc w:val="both"/>
              <w:rPr>
                <w:color w:val="000000"/>
                <w:sz w:val="18"/>
                <w:szCs w:val="18"/>
              </w:rPr>
            </w:pPr>
            <w:r>
              <w:rPr>
                <w:rFonts w:eastAsia="Arial" w:cs="Arial"/>
                <w:color w:val="000000"/>
                <w:kern w:val="0"/>
                <w:sz w:val="18"/>
                <w:szCs w:val="18"/>
                <w:lang w:eastAsia="en-US" w:bidi="ar-SA"/>
              </w:rPr>
              <w:t>Prior to the Termination Date, the Outstanding Principal can be partially or fully repaid anytime.</w:t>
            </w:r>
          </w:p>
          <w:p>
            <w:pPr>
              <w:pStyle w:val="normal0"/>
              <w:widowControl/>
              <w:numPr>
                <w:ilvl w:val="0"/>
                <w:numId w:val="7"/>
              </w:numPr>
              <w:pBdr/>
              <w:spacing w:lineRule="auto" w:line="290" w:before="0" w:after="140"/>
              <w:jc w:val="both"/>
              <w:rPr>
                <w:color w:val="000000"/>
                <w:sz w:val="18"/>
                <w:szCs w:val="18"/>
              </w:rPr>
            </w:pPr>
            <w:r>
              <w:rPr>
                <w:rFonts w:eastAsia="Arial" w:cs="Arial"/>
                <w:color w:val="000000"/>
                <w:kern w:val="0"/>
                <w:sz w:val="18"/>
                <w:szCs w:val="18"/>
                <w:lang w:eastAsia="en-US" w:bidi="ar-SA"/>
              </w:rPr>
              <w:t>On the Termination Date, the total Outstanding Principal shall be due and payable.</w:t>
            </w:r>
          </w:p>
        </w:tc>
      </w:tr>
      <w:tr>
        <w:trPr>
          <w:trHeight w:val="117" w:hRule="atLeast"/>
        </w:trPr>
        <w:tc>
          <w:tcPr>
            <w:tcW w:w="3458" w:type="dxa"/>
            <w:vMerge w:val="restart"/>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40" w:before="96" w:after="0"/>
              <w:jc w:val="both"/>
              <w:rPr>
                <w:b/>
                <w:color w:val="000000"/>
                <w:sz w:val="18"/>
                <w:szCs w:val="18"/>
              </w:rPr>
            </w:pPr>
            <w:r>
              <w:rPr>
                <w:rFonts w:eastAsia="Arial" w:cs="Arial"/>
                <w:b/>
                <w:color w:val="000000"/>
                <w:kern w:val="0"/>
                <w:sz w:val="18"/>
                <w:szCs w:val="18"/>
                <w:lang w:eastAsia="en-US" w:bidi="ar-SA"/>
              </w:rPr>
              <w:t>Penal Charges</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In case of non-payment or partial payment of the outstanding due under the Facility on the relevant due date, penal charges as set out in the table below and as mentioned in the KFS plus applicable taxes may be charged on such  outstanding due under the Facility.</w:t>
            </w:r>
          </w:p>
          <w:p>
            <w:pPr>
              <w:pStyle w:val="normal0"/>
              <w:widowControl/>
              <w:spacing w:lineRule="auto" w:line="276" w:before="0" w:after="140"/>
              <w:jc w:val="both"/>
              <w:rPr>
                <w:b/>
                <w:i/>
                <w:i/>
                <w:sz w:val="18"/>
                <w:szCs w:val="18"/>
              </w:rPr>
            </w:pPr>
            <w:r>
              <w:rPr>
                <w:rFonts w:eastAsia="Arial" w:cs="Arial"/>
                <w:b/>
                <w:kern w:val="0"/>
                <w:sz w:val="18"/>
                <w:szCs w:val="18"/>
                <w:lang w:eastAsia="en-US" w:bidi="ar-SA"/>
              </w:rPr>
              <w:t xml:space="preserve">For the purposes of calculation of penal charges, the outstanding due shall exclude any penal charges due or payable. </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i/>
                <w:i/>
                <w:sz w:val="18"/>
                <w:szCs w:val="18"/>
              </w:rPr>
            </w:pPr>
            <w:r>
              <w:rPr>
                <w:rFonts w:eastAsia="Arial" w:cs="Arial"/>
                <w:b/>
                <w:i/>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 xml:space="preserve">Amount of outstanding due under the Facility that continues to remain unpaid at the end of each day </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Penal charges (to be calculated on a daily basis)(excl. of GST)</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Up to ₹25,000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25,001 - ₹50,000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50,001 - ₹1,00,000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1,00,001 - ₹2,50,000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2,50,001 - ₹5,00,000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5,00,001 - ₹10,00,000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10,00,001 - ₹25,00,000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1,000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25,00,001 - ₹50,00,000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2,500</w:t>
            </w:r>
          </w:p>
        </w:tc>
      </w:tr>
      <w:tr>
        <w:trPr>
          <w:trHeight w:val="113"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50,00,001 - ₹1,00,00,000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5,000</w:t>
            </w:r>
          </w:p>
        </w:tc>
      </w:tr>
      <w:tr>
        <w:trPr>
          <w:trHeight w:val="548" w:hRule="atLeast"/>
        </w:trPr>
        <w:tc>
          <w:tcPr>
            <w:tcW w:w="3458"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404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More than ₹1,00,00,000</w:t>
            </w:r>
          </w:p>
        </w:tc>
        <w:tc>
          <w:tcPr>
            <w:tcW w:w="232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b/>
                <w:sz w:val="18"/>
                <w:szCs w:val="18"/>
              </w:rPr>
            </w:pPr>
            <w:r>
              <w:rPr>
                <w:rFonts w:eastAsia="Arial" w:cs="Arial"/>
                <w:b/>
                <w:kern w:val="0"/>
                <w:sz w:val="18"/>
                <w:szCs w:val="18"/>
                <w:lang w:eastAsia="en-US" w:bidi="ar-SA"/>
              </w:rPr>
              <w:t>₹</w:t>
            </w:r>
            <w:r>
              <w:rPr>
                <w:rFonts w:eastAsia="Arial" w:cs="Arial"/>
                <w:b/>
                <w:kern w:val="0"/>
                <w:sz w:val="18"/>
                <w:szCs w:val="18"/>
                <w:lang w:eastAsia="en-US" w:bidi="ar-SA"/>
              </w:rPr>
              <w:t>10,000</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Charges &amp; Contingent Charges</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As specified in KFS</w:t>
            </w:r>
          </w:p>
        </w:tc>
      </w:tr>
      <w:tr>
        <w:trPr>
          <w:trHeight w:val="998" w:hRule="atLeast"/>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40" w:before="96" w:after="0"/>
              <w:jc w:val="both"/>
              <w:rPr>
                <w:b/>
                <w:color w:val="000000"/>
                <w:sz w:val="18"/>
                <w:szCs w:val="18"/>
              </w:rPr>
            </w:pPr>
            <w:r>
              <w:rPr>
                <w:rFonts w:eastAsia="Arial" w:cs="Arial"/>
                <w:b/>
                <w:color w:val="000000"/>
                <w:kern w:val="0"/>
                <w:sz w:val="18"/>
                <w:szCs w:val="18"/>
                <w:lang w:eastAsia="en-US" w:bidi="ar-SA"/>
              </w:rPr>
              <w:t>Minimum prior notice for early repayment / foreclosure and early repayment charges and cooling-off period</w:t>
            </w:r>
          </w:p>
          <w:p>
            <w:pPr>
              <w:pStyle w:val="normal0"/>
              <w:widowControl w:val="false"/>
              <w:pBdr/>
              <w:spacing w:lineRule="auto" w:line="240" w:before="96" w:after="0"/>
              <w:jc w:val="both"/>
              <w:rPr>
                <w:b/>
                <w:color w:val="000000"/>
                <w:sz w:val="18"/>
                <w:szCs w:val="18"/>
              </w:rPr>
            </w:pPr>
            <w:r>
              <w:rPr>
                <w:rFonts w:eastAsia="Arial" w:cs="Arial"/>
                <w:b/>
                <w:color w:val="000000"/>
                <w:kern w:val="0"/>
                <w:sz w:val="18"/>
                <w:szCs w:val="18"/>
                <w:lang w:eastAsia="en-US" w:bidi="ar-SA"/>
              </w:rPr>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both"/>
              <w:rPr>
                <w:sz w:val="18"/>
                <w:szCs w:val="18"/>
              </w:rPr>
            </w:pPr>
            <w:r>
              <w:rPr>
                <w:rFonts w:eastAsia="Arial" w:cs="Arial"/>
                <w:kern w:val="0"/>
                <w:sz w:val="18"/>
                <w:szCs w:val="18"/>
                <w:lang w:eastAsia="en-US" w:bidi="ar-SA"/>
              </w:rPr>
              <w:t>The Facility will have a cooling-off period of 3 days from the date of the of the first disbursement under the Facility.</w:t>
            </w:r>
          </w:p>
          <w:p>
            <w:pPr>
              <w:pStyle w:val="normal0"/>
              <w:widowControl/>
              <w:spacing w:lineRule="auto" w:line="276" w:before="0" w:after="0"/>
              <w:jc w:val="both"/>
              <w:rPr>
                <w:sz w:val="18"/>
                <w:szCs w:val="18"/>
              </w:rPr>
            </w:pPr>
            <w:r>
              <w:rPr>
                <w:rFonts w:eastAsia="Arial" w:cs="Arial"/>
                <w:kern w:val="0"/>
                <w:sz w:val="18"/>
                <w:szCs w:val="18"/>
                <w:lang w:eastAsia="en-US" w:bidi="ar-SA"/>
              </w:rPr>
              <w:t xml:space="preserve">During the cooling-off period, any repayment or cancellation of the Facility will only require the borrower(s) to pay the outstanding principal amount and the and the proportionate Annual Percentage Rate (as set out in the KFS) without any early repayment charges. </w:t>
            </w:r>
          </w:p>
          <w:p>
            <w:pPr>
              <w:pStyle w:val="normal0"/>
              <w:widowControl/>
              <w:spacing w:lineRule="auto" w:line="290" w:before="0" w:after="140"/>
              <w:jc w:val="both"/>
              <w:rPr>
                <w:sz w:val="18"/>
                <w:szCs w:val="18"/>
              </w:rPr>
            </w:pPr>
            <w:r>
              <w:rPr>
                <w:rFonts w:eastAsia="Arial" w:cs="Arial"/>
                <w:kern w:val="0"/>
                <w:sz w:val="18"/>
                <w:szCs w:val="18"/>
                <w:lang w:eastAsia="en-US" w:bidi="ar-SA"/>
              </w:rPr>
              <w:t xml:space="preserve">After the cooling-off period, no prior notice or any early repayment charges will be required to be provided or paid for any early repayment under the Facility.   </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 xml:space="preserve">Security/Collateral </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In compliance with applicable laws, the Security Provider(s) will provide to the Lender the security over equity shares and/or mutual funds unit acceptable to the Lender as per its internal policies for such value as may be required by the Lender from time to time. The borrower(s) shall ensure that the margin shall not be less than the required margin at all times.</w:t>
            </w:r>
          </w:p>
          <w:p>
            <w:pPr>
              <w:pStyle w:val="normal0"/>
              <w:widowControl/>
              <w:spacing w:lineRule="auto" w:line="276" w:before="0" w:after="140"/>
              <w:jc w:val="both"/>
              <w:rPr>
                <w:sz w:val="18"/>
                <w:szCs w:val="18"/>
              </w:rPr>
            </w:pPr>
            <w:r>
              <w:rPr>
                <w:rFonts w:eastAsia="Arial" w:cs="Arial"/>
                <w:kern w:val="0"/>
                <w:sz w:val="18"/>
                <w:szCs w:val="18"/>
                <w:lang w:eastAsia="en-US" w:bidi="ar-SA"/>
              </w:rPr>
              <w:t>The acceptable securities provided for pledge or lien to the Lender shall:</w:t>
            </w:r>
          </w:p>
          <w:p>
            <w:pPr>
              <w:pStyle w:val="normal0"/>
              <w:widowControl/>
              <w:numPr>
                <w:ilvl w:val="0"/>
                <w:numId w:val="4"/>
              </w:numPr>
              <w:pBdr/>
              <w:spacing w:lineRule="auto" w:line="276" w:before="0" w:after="0"/>
              <w:jc w:val="both"/>
              <w:rPr>
                <w:color w:val="000000"/>
                <w:sz w:val="18"/>
                <w:szCs w:val="18"/>
              </w:rPr>
            </w:pPr>
            <w:r>
              <w:rPr>
                <w:rFonts w:eastAsia="Arial" w:cs="Arial"/>
                <w:color w:val="000000"/>
                <w:kern w:val="0"/>
                <w:sz w:val="18"/>
                <w:szCs w:val="18"/>
                <w:lang w:eastAsia="en-US" w:bidi="ar-SA"/>
              </w:rPr>
              <w:t>be owned and pledged from the beneficiary de-mat account of the Obligor(s); and</w:t>
            </w:r>
          </w:p>
          <w:p>
            <w:pPr>
              <w:pStyle w:val="normal0"/>
              <w:widowControl/>
              <w:numPr>
                <w:ilvl w:val="0"/>
                <w:numId w:val="4"/>
              </w:numPr>
              <w:pBdr/>
              <w:spacing w:lineRule="auto" w:line="276" w:before="0" w:after="140"/>
              <w:jc w:val="both"/>
              <w:rPr>
                <w:color w:val="000000"/>
                <w:sz w:val="18"/>
                <w:szCs w:val="18"/>
              </w:rPr>
            </w:pPr>
            <w:r>
              <w:rPr>
                <w:rFonts w:eastAsia="Arial" w:cs="Arial"/>
                <w:color w:val="000000"/>
                <w:kern w:val="0"/>
                <w:sz w:val="18"/>
                <w:szCs w:val="18"/>
                <w:lang w:eastAsia="en-US" w:bidi="ar-SA"/>
              </w:rPr>
              <w:t xml:space="preserve">be free of any charge, lock-in or encumbrance of any kind. </w:t>
            </w:r>
            <w:r>
              <w:rPr>
                <w:rFonts w:eastAsia="Arial" w:cs="Arial"/>
                <w:b/>
                <w:i/>
                <w:color w:val="000000"/>
                <w:kern w:val="0"/>
                <w:sz w:val="18"/>
                <w:szCs w:val="18"/>
                <w:lang w:eastAsia="en-US" w:bidi="ar-SA"/>
              </w:rPr>
              <w:t xml:space="preserve"> </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 xml:space="preserve">Guarantee </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The Guarantor (wherever applicable) will provide an irrevocable and unconditional guarantee for the punctual performance of the obligations by the borrower(s) under the Facility documents.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Margin</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Margin will be calculated as the difference between the market value of the collateral/securities and the outstanding under the Facility.</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Market Price</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Marker price (i) in case of mutual fund units, means the net asset value of the mutual fund units last published by the relevant mutual fund/asset management company/Association of Mutual Funds in India, (ii) in case of equity share, means the market price of such equity shares available on the stock exchange on a real time basis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Market Value</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Market Value means (i) in case of mutual fund units forming part of collateral/securities, the total value of the mutual fund units calculated as a product of the market price and the total number of mutual fund units forming part of collateral/securities, (ii) in case of equity shares forming part of collateral/securities, the total value of the equity shares calculated as a product of the market price and the total number of equity shares forming part of collateral/securities.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 xml:space="preserve">Required Margin </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numPr>
                <w:ilvl w:val="0"/>
                <w:numId w:val="5"/>
              </w:numPr>
              <w:pBdr/>
              <w:spacing w:lineRule="auto" w:line="276" w:before="0" w:after="0"/>
              <w:jc w:val="both"/>
              <w:rPr>
                <w:color w:val="000000"/>
                <w:sz w:val="18"/>
                <w:szCs w:val="18"/>
              </w:rPr>
            </w:pPr>
            <w:r>
              <w:rPr>
                <w:rFonts w:eastAsia="Arial" w:cs="Arial"/>
                <w:color w:val="000000"/>
                <w:kern w:val="0"/>
                <w:sz w:val="18"/>
                <w:szCs w:val="18"/>
                <w:lang w:eastAsia="en-US" w:bidi="ar-SA"/>
              </w:rPr>
              <w:t>In case of equity oriented mutual fund units forming part of collateral/securities, margin being not less than 50% of the market value of the collateral/securities or such other thresholds as may be communicated by the Lender to the Obligor(s) as per the Lender’s internal credit policy.</w:t>
            </w:r>
          </w:p>
          <w:p>
            <w:pPr>
              <w:pStyle w:val="normal0"/>
              <w:widowControl/>
              <w:pBdr/>
              <w:spacing w:lineRule="auto" w:line="276" w:before="0" w:after="0"/>
              <w:ind w:start="1080"/>
              <w:jc w:val="both"/>
              <w:rPr>
                <w:color w:val="000000"/>
                <w:sz w:val="18"/>
                <w:szCs w:val="18"/>
              </w:rPr>
            </w:pPr>
            <w:r>
              <w:rPr>
                <w:rFonts w:eastAsia="Arial" w:cs="Arial"/>
                <w:color w:val="000000"/>
                <w:kern w:val="0"/>
                <w:sz w:val="18"/>
                <w:szCs w:val="18"/>
                <w:lang w:eastAsia="en-US" w:bidi="ar-SA"/>
              </w:rPr>
            </w:r>
          </w:p>
          <w:p>
            <w:pPr>
              <w:pStyle w:val="normal0"/>
              <w:widowControl/>
              <w:numPr>
                <w:ilvl w:val="0"/>
                <w:numId w:val="5"/>
              </w:numPr>
              <w:pBdr/>
              <w:spacing w:lineRule="auto" w:line="276" w:before="0" w:after="0"/>
              <w:jc w:val="both"/>
              <w:rPr>
                <w:color w:val="000000"/>
                <w:sz w:val="18"/>
                <w:szCs w:val="18"/>
              </w:rPr>
            </w:pPr>
            <w:r>
              <w:rPr>
                <w:rFonts w:eastAsia="Arial" w:cs="Arial"/>
                <w:color w:val="000000"/>
                <w:kern w:val="0"/>
                <w:sz w:val="18"/>
                <w:szCs w:val="18"/>
                <w:lang w:eastAsia="en-US" w:bidi="ar-SA"/>
              </w:rPr>
              <w:t>In case of equity shares forming part of collateral/securities, margin being not less than 50% of the market value of the collateral/securities or such other thresholds as may be communicated by the Lender to the Obligor(s) as per the Lender’s internal credit policy.</w:t>
            </w:r>
          </w:p>
          <w:p>
            <w:pPr>
              <w:pStyle w:val="normal0"/>
              <w:widowControl/>
              <w:pBdr/>
              <w:spacing w:lineRule="auto" w:line="276" w:before="0" w:after="0"/>
              <w:ind w:start="1080"/>
              <w:jc w:val="both"/>
              <w:rPr>
                <w:color w:val="000000"/>
                <w:sz w:val="18"/>
                <w:szCs w:val="18"/>
              </w:rPr>
            </w:pPr>
            <w:r>
              <w:rPr>
                <w:rFonts w:eastAsia="Arial" w:cs="Arial"/>
                <w:color w:val="000000"/>
                <w:kern w:val="0"/>
                <w:sz w:val="18"/>
                <w:szCs w:val="18"/>
                <w:lang w:eastAsia="en-US" w:bidi="ar-SA"/>
              </w:rPr>
            </w:r>
          </w:p>
          <w:p>
            <w:pPr>
              <w:pStyle w:val="normal0"/>
              <w:widowControl/>
              <w:numPr>
                <w:ilvl w:val="0"/>
                <w:numId w:val="5"/>
              </w:numPr>
              <w:pBdr/>
              <w:spacing w:lineRule="auto" w:line="276" w:before="0" w:after="140"/>
              <w:jc w:val="both"/>
              <w:rPr>
                <w:color w:val="000000"/>
                <w:sz w:val="18"/>
                <w:szCs w:val="18"/>
              </w:rPr>
            </w:pPr>
            <w:r>
              <w:rPr>
                <w:rFonts w:eastAsia="Arial" w:cs="Arial"/>
                <w:color w:val="000000"/>
                <w:kern w:val="0"/>
                <w:sz w:val="18"/>
                <w:szCs w:val="18"/>
                <w:lang w:eastAsia="en-US" w:bidi="ar-SA"/>
              </w:rPr>
              <w:t>In case of any other collateral/securities, margin thresholds as may be communicated by the Lender to the Obligor(s)) as per the Lender’s internal credit policy.</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Valuation of Security</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The Lender will, at a frequency determined solely by the Lender, determine the latest market value of the collateral/security by referring to the market price of the relevant collateral/securities.</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Top-Up Security</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The borrower(s) shall be required to provide additional security/collateral in the following scenarios:</w:t>
            </w:r>
          </w:p>
          <w:p>
            <w:pPr>
              <w:pStyle w:val="normal0"/>
              <w:widowControl/>
              <w:numPr>
                <w:ilvl w:val="0"/>
                <w:numId w:val="6"/>
              </w:numPr>
              <w:pBdr/>
              <w:spacing w:lineRule="auto" w:line="290" w:before="0" w:after="0"/>
              <w:jc w:val="both"/>
              <w:rPr>
                <w:color w:val="000000"/>
                <w:sz w:val="18"/>
                <w:szCs w:val="18"/>
              </w:rPr>
            </w:pPr>
            <w:r>
              <w:rPr>
                <w:rFonts w:eastAsia="Arial" w:cs="Arial"/>
                <w:color w:val="000000"/>
                <w:kern w:val="0"/>
                <w:sz w:val="18"/>
                <w:szCs w:val="18"/>
                <w:lang w:eastAsia="en-US" w:bidi="ar-SA"/>
              </w:rPr>
              <w:t>if the borrower(s) proposes to increase the facility value limit; or</w:t>
            </w:r>
          </w:p>
          <w:p>
            <w:pPr>
              <w:pStyle w:val="normal0"/>
              <w:widowControl/>
              <w:numPr>
                <w:ilvl w:val="0"/>
                <w:numId w:val="6"/>
              </w:numPr>
              <w:pBdr/>
              <w:spacing w:lineRule="auto" w:line="290" w:before="0" w:after="140"/>
              <w:jc w:val="both"/>
              <w:rPr>
                <w:color w:val="000000"/>
                <w:sz w:val="18"/>
                <w:szCs w:val="18"/>
              </w:rPr>
            </w:pPr>
            <w:r>
              <w:rPr>
                <w:rFonts w:eastAsia="Arial" w:cs="Arial"/>
                <w:color w:val="000000"/>
                <w:kern w:val="0"/>
                <w:sz w:val="18"/>
                <w:szCs w:val="18"/>
                <w:lang w:eastAsia="en-US" w:bidi="ar-SA"/>
              </w:rPr>
              <w:t>if the margin is less than the required margin.</w:t>
            </w:r>
          </w:p>
        </w:tc>
      </w:tr>
      <w:tr>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Release or substitution of security/collateral</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The borrower(s) may request the Lender to permit the security provider(s) to release any collateral/security and/or substitute any or all of such collateral/securities with other collateral/securities in the form and manner satisfactory to the Lender, from time to time.</w:t>
            </w:r>
          </w:p>
          <w:p>
            <w:pPr>
              <w:pStyle w:val="normal0"/>
              <w:widowControl/>
              <w:pBdr/>
              <w:spacing w:lineRule="auto" w:line="290" w:before="0" w:after="140"/>
              <w:ind w:hanging="681" w:start="1041"/>
              <w:jc w:val="both"/>
              <w:rPr>
                <w:color w:val="000000"/>
                <w:sz w:val="18"/>
                <w:szCs w:val="18"/>
              </w:rPr>
            </w:pPr>
            <w:r>
              <w:rPr>
                <w:rFonts w:eastAsia="Arial" w:cs="Arial"/>
                <w:color w:val="000000"/>
                <w:kern w:val="0"/>
                <w:sz w:val="18"/>
                <w:szCs w:val="18"/>
                <w:lang w:eastAsia="en-US" w:bidi="ar-SA"/>
              </w:rPr>
              <w:t xml:space="preserve">The Lender may: </w:t>
            </w:r>
          </w:p>
          <w:p>
            <w:pPr>
              <w:pStyle w:val="normal0"/>
              <w:widowControl/>
              <w:numPr>
                <w:ilvl w:val="3"/>
                <w:numId w:val="8"/>
              </w:numPr>
              <w:pBdr/>
              <w:spacing w:lineRule="auto" w:line="290" w:before="0" w:after="140"/>
              <w:ind w:hanging="630" w:start="704"/>
              <w:jc w:val="both"/>
              <w:rPr>
                <w:color w:val="000000"/>
                <w:sz w:val="18"/>
                <w:szCs w:val="18"/>
              </w:rPr>
            </w:pPr>
            <w:r>
              <w:rPr>
                <w:rFonts w:eastAsia="Arial" w:cs="Arial"/>
                <w:color w:val="000000"/>
                <w:kern w:val="0"/>
                <w:sz w:val="18"/>
                <w:szCs w:val="18"/>
                <w:lang w:eastAsia="en-US" w:bidi="ar-SA"/>
              </w:rPr>
              <w:t xml:space="preserve">if the market price in relation to any collateral/securities has not been published by the relevant mutual fund/asset management company/stock exchange at any point of time, or </w:t>
            </w:r>
          </w:p>
          <w:p>
            <w:pPr>
              <w:pStyle w:val="normal0"/>
              <w:widowControl/>
              <w:numPr>
                <w:ilvl w:val="3"/>
                <w:numId w:val="8"/>
              </w:numPr>
              <w:pBdr/>
              <w:spacing w:lineRule="auto" w:line="290" w:before="0" w:after="140"/>
              <w:ind w:hanging="630" w:start="704"/>
              <w:jc w:val="both"/>
              <w:rPr>
                <w:color w:val="000000"/>
                <w:sz w:val="18"/>
                <w:szCs w:val="18"/>
              </w:rPr>
            </w:pPr>
            <w:r>
              <w:rPr>
                <w:rFonts w:eastAsia="Arial" w:cs="Arial"/>
                <w:color w:val="000000"/>
                <w:kern w:val="0"/>
                <w:sz w:val="18"/>
                <w:szCs w:val="18"/>
                <w:lang w:eastAsia="en-US" w:bidi="ar-SA"/>
              </w:rPr>
              <w:t>on the basis of change or modification in applicable law, or</w:t>
            </w:r>
          </w:p>
          <w:p>
            <w:pPr>
              <w:pStyle w:val="normal0"/>
              <w:widowControl/>
              <w:numPr>
                <w:ilvl w:val="3"/>
                <w:numId w:val="8"/>
              </w:numPr>
              <w:pBdr/>
              <w:spacing w:lineRule="auto" w:line="290" w:before="0" w:after="140"/>
              <w:ind w:hanging="630" w:start="704"/>
              <w:jc w:val="both"/>
              <w:rPr>
                <w:color w:val="000000"/>
                <w:sz w:val="18"/>
                <w:szCs w:val="18"/>
              </w:rPr>
            </w:pPr>
            <w:r>
              <w:rPr>
                <w:rFonts w:eastAsia="Arial" w:cs="Arial"/>
                <w:color w:val="000000"/>
                <w:kern w:val="0"/>
                <w:sz w:val="18"/>
                <w:szCs w:val="18"/>
                <w:lang w:eastAsia="en-US" w:bidi="ar-SA"/>
              </w:rPr>
              <w:t>on the basis of change to the Lender’s credit policy pursuant to which the margin and/or required margin required to secure the outstanding are varied, or</w:t>
            </w:r>
          </w:p>
          <w:p>
            <w:pPr>
              <w:pStyle w:val="normal0"/>
              <w:widowControl/>
              <w:numPr>
                <w:ilvl w:val="3"/>
                <w:numId w:val="8"/>
              </w:numPr>
              <w:pBdr/>
              <w:spacing w:lineRule="auto" w:line="290" w:before="0" w:after="140"/>
              <w:ind w:hanging="630" w:start="704"/>
              <w:jc w:val="both"/>
              <w:rPr>
                <w:color w:val="000000"/>
                <w:sz w:val="18"/>
                <w:szCs w:val="18"/>
              </w:rPr>
            </w:pPr>
            <w:r>
              <w:rPr>
                <w:rFonts w:eastAsia="Arial" w:cs="Arial"/>
                <w:color w:val="000000"/>
                <w:kern w:val="0"/>
                <w:sz w:val="18"/>
                <w:szCs w:val="18"/>
                <w:lang w:eastAsia="en-US" w:bidi="ar-SA"/>
              </w:rPr>
              <w:t>determining in its sole discretion that certain collateral/security is unacceptable to the Lender, or</w:t>
            </w:r>
          </w:p>
          <w:p>
            <w:pPr>
              <w:pStyle w:val="normal0"/>
              <w:widowControl/>
              <w:numPr>
                <w:ilvl w:val="3"/>
                <w:numId w:val="8"/>
              </w:numPr>
              <w:pBdr/>
              <w:spacing w:lineRule="auto" w:line="290" w:before="0" w:after="140"/>
              <w:ind w:hanging="630" w:start="704"/>
              <w:jc w:val="both"/>
              <w:rPr>
                <w:color w:val="000000"/>
                <w:sz w:val="18"/>
                <w:szCs w:val="18"/>
              </w:rPr>
            </w:pPr>
            <w:r>
              <w:rPr>
                <w:rFonts w:eastAsia="Arial" w:cs="Arial"/>
                <w:color w:val="000000"/>
                <w:kern w:val="0"/>
                <w:sz w:val="18"/>
                <w:szCs w:val="18"/>
                <w:lang w:eastAsia="en-US" w:bidi="ar-SA"/>
              </w:rPr>
              <w:t>on the occurrence of certain events prescribed as ‘Collateral eligibility Event’ under the Facility documents,</w:t>
            </w:r>
          </w:p>
          <w:p>
            <w:pPr>
              <w:pStyle w:val="normal0"/>
              <w:widowControl/>
              <w:spacing w:lineRule="auto" w:line="290" w:before="0" w:after="140"/>
              <w:jc w:val="both"/>
              <w:rPr>
                <w:sz w:val="18"/>
                <w:szCs w:val="18"/>
              </w:rPr>
            </w:pPr>
            <w:r>
              <w:rPr>
                <w:rFonts w:eastAsia="Arial" w:cs="Arial"/>
                <w:kern w:val="0"/>
                <w:sz w:val="18"/>
                <w:szCs w:val="18"/>
                <w:lang w:eastAsia="en-US" w:bidi="ar-SA"/>
              </w:rPr>
              <w:t>require the borrower(s) to (I) substitute any or all of such collateral/securities with other collateral/securities,  and/or (II) request/instruct the Lender to sell certain collateral/securities, and/or (III) make payment for any outstanding, and/or (IV) take any other action as may be agreed between the borrower(s) and the Lender.</w:t>
            </w:r>
          </w:p>
        </w:tc>
      </w:tr>
      <w:tr>
        <w:trPr>
          <w:trHeight w:val="350" w:hRule="atLeast"/>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i/>
                <w:i/>
                <w:sz w:val="18"/>
                <w:szCs w:val="18"/>
              </w:rPr>
            </w:pPr>
            <w:r>
              <w:rPr>
                <w:rFonts w:eastAsia="Arial" w:cs="Arial"/>
                <w:b/>
                <w:kern w:val="0"/>
                <w:sz w:val="18"/>
                <w:szCs w:val="18"/>
                <w:lang w:eastAsia="en-US" w:bidi="ar-SA"/>
              </w:rPr>
              <w:t>Taxes and Levies</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 xml:space="preserve">All the fees and charges indicated in the Facility documents is exclusive of all taxes and statutory levies as may be applicable on the same including, without limitation, GST at the rate of 18% (or any other rate that may be specified by the relevant governmental authority in this regard from time to time) together with any cess and such taxes and statutory levies shall be payable by the Obligor(s).  </w:t>
            </w:r>
          </w:p>
        </w:tc>
      </w:tr>
      <w:tr>
        <w:trPr>
          <w:trHeight w:val="953" w:hRule="atLeast"/>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Classification of a loan account as a stressed loan account</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r>
          </w:p>
          <w:tbl>
            <w:tblPr>
              <w:tblStyle w:val="style4115"/>
              <w:tblW w:w="6085" w:type="dxa"/>
              <w:jc w:val="start"/>
              <w:tblInd w:w="67" w:type="dxa"/>
              <w:tblLayout w:type="fixed"/>
              <w:tblCellMar>
                <w:top w:w="0" w:type="dxa"/>
                <w:start w:w="108" w:type="dxa"/>
                <w:bottom w:w="0" w:type="dxa"/>
                <w:end w:w="108" w:type="dxa"/>
              </w:tblCellMar>
              <w:tblLook w:val="0400" w:noVBand="1" w:noHBand="0" w:lastColumn="0" w:firstColumn="0" w:lastRow="0" w:firstRow="0"/>
            </w:tblPr>
            <w:tblGrid>
              <w:gridCol w:w="2070"/>
              <w:gridCol w:w="4015"/>
            </w:tblGrid>
            <w:tr>
              <w:trPr/>
              <w:tc>
                <w:tcPr>
                  <w:tcW w:w="2070"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SMA Sub-Categories</w:t>
                  </w:r>
                </w:p>
              </w:tc>
              <w:tc>
                <w:tcPr>
                  <w:tcW w:w="4015"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Basis for classification – Principal or interest payment or any other amount wholly or partly overdue between</w:t>
                  </w:r>
                </w:p>
              </w:tc>
            </w:tr>
            <w:tr>
              <w:trPr/>
              <w:tc>
                <w:tcPr>
                  <w:tcW w:w="2070"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SMA-0</w:t>
                  </w:r>
                </w:p>
              </w:tc>
              <w:tc>
                <w:tcPr>
                  <w:tcW w:w="4015"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Up to 30 days</w:t>
                  </w:r>
                </w:p>
              </w:tc>
            </w:tr>
            <w:tr>
              <w:trPr/>
              <w:tc>
                <w:tcPr>
                  <w:tcW w:w="2070"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SMA-1</w:t>
                  </w:r>
                </w:p>
              </w:tc>
              <w:tc>
                <w:tcPr>
                  <w:tcW w:w="4015"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More than 30 days and up to 60 days</w:t>
                  </w:r>
                </w:p>
              </w:tc>
            </w:tr>
            <w:tr>
              <w:trPr/>
              <w:tc>
                <w:tcPr>
                  <w:tcW w:w="2070"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SMA-2</w:t>
                  </w:r>
                </w:p>
              </w:tc>
              <w:tc>
                <w:tcPr>
                  <w:tcW w:w="4015" w:type="dxa"/>
                  <w:tcBorders>
                    <w:top w:val="single" w:sz="4" w:space="0" w:color="000000"/>
                    <w:start w:val="single" w:sz="4" w:space="0" w:color="000000"/>
                    <w:bottom w:val="single" w:sz="4" w:space="0" w:color="000000"/>
                    <w:end w:val="single" w:sz="4" w:space="0" w:color="000000"/>
                  </w:tcBorders>
                </w:tcPr>
                <w:p>
                  <w:pPr>
                    <w:pStyle w:val="normal0"/>
                    <w:widowControl/>
                    <w:pBdr/>
                    <w:spacing w:lineRule="auto" w:line="290" w:before="0" w:after="140"/>
                    <w:jc w:val="both"/>
                    <w:rPr>
                      <w:rFonts w:ascii="Arial" w:hAnsi="Arial" w:eastAsia="Arial" w:cs="Arial"/>
                      <w:color w:val="000000"/>
                      <w:sz w:val="18"/>
                      <w:szCs w:val="18"/>
                    </w:rPr>
                  </w:pPr>
                  <w:r>
                    <w:rPr>
                      <w:rFonts w:eastAsia="Arial" w:cs="Arial"/>
                      <w:color w:val="000000"/>
                      <w:kern w:val="0"/>
                      <w:sz w:val="18"/>
                      <w:szCs w:val="18"/>
                      <w:lang w:eastAsia="en-US" w:bidi="ar-SA"/>
                    </w:rPr>
                    <w:t>More than 60 days and up to 90 days</w:t>
                  </w:r>
                </w:p>
              </w:tc>
            </w:tr>
          </w:tbl>
          <w:p>
            <w:pPr>
              <w:pStyle w:val="normal0"/>
              <w:widowControl/>
              <w:spacing w:lineRule="auto" w:line="290" w:before="0" w:after="140"/>
              <w:jc w:val="both"/>
              <w:rPr>
                <w:sz w:val="18"/>
                <w:szCs w:val="18"/>
              </w:rPr>
            </w:pPr>
            <w:r>
              <w:rPr>
                <w:rFonts w:eastAsia="Arial" w:cs="Arial"/>
                <w:kern w:val="0"/>
                <w:sz w:val="18"/>
                <w:szCs w:val="18"/>
                <w:lang w:eastAsia="en-US" w:bidi="ar-SA"/>
              </w:rPr>
            </w:r>
          </w:p>
          <w:p>
            <w:pPr>
              <w:pStyle w:val="normal0"/>
              <w:widowControl/>
              <w:pBdr/>
              <w:spacing w:lineRule="auto" w:line="276" w:before="0" w:after="0"/>
              <w:jc w:val="both"/>
              <w:rPr>
                <w:sz w:val="18"/>
                <w:szCs w:val="18"/>
              </w:rPr>
            </w:pPr>
            <w:r>
              <w:rPr>
                <w:rFonts w:eastAsia="Arial" w:cs="Arial"/>
                <w:b/>
                <w:kern w:val="0"/>
                <w:sz w:val="18"/>
                <w:szCs w:val="18"/>
                <w:lang w:eastAsia="en-US" w:bidi="ar-SA"/>
              </w:rPr>
              <w:t>Examples:</w:t>
            </w:r>
          </w:p>
          <w:p>
            <w:pPr>
              <w:pStyle w:val="normal0"/>
              <w:widowControl/>
              <w:numPr>
                <w:ilvl w:val="0"/>
                <w:numId w:val="2"/>
              </w:numPr>
              <w:pBdr/>
              <w:spacing w:lineRule="auto" w:line="276" w:before="0" w:after="0"/>
              <w:ind w:hanging="431" w:start="431"/>
              <w:jc w:val="both"/>
              <w:rPr>
                <w:sz w:val="18"/>
                <w:szCs w:val="18"/>
              </w:rPr>
            </w:pPr>
            <w:r>
              <w:rPr>
                <w:rFonts w:eastAsia="Arial" w:cs="Arial"/>
                <w:kern w:val="0"/>
                <w:sz w:val="18"/>
                <w:szCs w:val="18"/>
                <w:lang w:eastAsia="en-US" w:bidi="ar-SA"/>
              </w:rPr>
              <w:t>If due date of a loan account of the borrower(s) is 2</w:t>
            </w:r>
            <w:r>
              <w:rPr>
                <w:rFonts w:eastAsia="Arial" w:cs="Arial"/>
                <w:kern w:val="0"/>
                <w:sz w:val="18"/>
                <w:szCs w:val="18"/>
                <w:vertAlign w:val="superscript"/>
                <w:lang w:eastAsia="en-US" w:bidi="ar-SA"/>
              </w:rPr>
              <w:t>nd</w:t>
            </w:r>
            <w:r>
              <w:rPr>
                <w:rFonts w:eastAsia="Arial" w:cs="Arial"/>
                <w:kern w:val="0"/>
                <w:sz w:val="18"/>
                <w:szCs w:val="18"/>
                <w:lang w:eastAsia="en-US" w:bidi="ar-SA"/>
              </w:rPr>
              <w:t xml:space="preserve"> March 2025 and full dues are not received on this date, the date of overdue shall be end of the day on 2</w:t>
            </w:r>
            <w:r>
              <w:rPr>
                <w:rFonts w:eastAsia="Arial" w:cs="Arial"/>
                <w:kern w:val="0"/>
                <w:sz w:val="18"/>
                <w:szCs w:val="18"/>
                <w:vertAlign w:val="superscript"/>
                <w:lang w:eastAsia="en-US" w:bidi="ar-SA"/>
              </w:rPr>
              <w:t>nd</w:t>
            </w:r>
            <w:r>
              <w:rPr>
                <w:rFonts w:eastAsia="Arial" w:cs="Arial"/>
                <w:kern w:val="0"/>
                <w:sz w:val="18"/>
                <w:szCs w:val="18"/>
                <w:lang w:eastAsia="en-US" w:bidi="ar-SA"/>
              </w:rPr>
              <w:t xml:space="preserve"> March, 2025 and the loan account shall be classified as SMA-0.</w:t>
            </w:r>
          </w:p>
          <w:p>
            <w:pPr>
              <w:pStyle w:val="normal0"/>
              <w:widowControl/>
              <w:numPr>
                <w:ilvl w:val="0"/>
                <w:numId w:val="2"/>
              </w:numPr>
              <w:pBdr/>
              <w:spacing w:lineRule="auto" w:line="276" w:before="0" w:after="0"/>
              <w:ind w:hanging="431" w:start="431"/>
              <w:jc w:val="both"/>
              <w:rPr>
                <w:sz w:val="18"/>
                <w:szCs w:val="18"/>
              </w:rPr>
            </w:pPr>
            <w:r>
              <w:rPr>
                <w:rFonts w:eastAsia="Arial" w:cs="Arial"/>
                <w:kern w:val="0"/>
                <w:sz w:val="18"/>
                <w:szCs w:val="18"/>
                <w:lang w:eastAsia="en-US" w:bidi="ar-SA"/>
              </w:rPr>
              <w:t>If the loan account continues to remain overdue on 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April 2025 i.e. upon completion of 30 days of being continuously overdue, then this account shall be classified as SMA-1 on 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April, 2025.</w:t>
            </w:r>
          </w:p>
          <w:p>
            <w:pPr>
              <w:pStyle w:val="normal0"/>
              <w:widowControl/>
              <w:numPr>
                <w:ilvl w:val="0"/>
                <w:numId w:val="2"/>
              </w:numPr>
              <w:pBdr/>
              <w:spacing w:lineRule="auto" w:line="276" w:before="0" w:after="0"/>
              <w:ind w:hanging="431" w:start="431"/>
              <w:jc w:val="both"/>
              <w:rPr>
                <w:sz w:val="18"/>
                <w:szCs w:val="18"/>
              </w:rPr>
            </w:pPr>
            <w:r>
              <w:rPr>
                <w:rFonts w:eastAsia="Arial" w:cs="Arial"/>
                <w:kern w:val="0"/>
                <w:sz w:val="18"/>
                <w:szCs w:val="18"/>
                <w:lang w:eastAsia="en-US" w:bidi="ar-SA"/>
              </w:rPr>
              <w:t>If the loan account continues to remain overdue upon running day-end process on 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May 2025 i.e. upon completion of 60 days of being continuously overdue, it shall be classified as SMA-2 on 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May 2025.</w:t>
            </w:r>
          </w:p>
          <w:p>
            <w:pPr>
              <w:pStyle w:val="normal0"/>
              <w:widowControl/>
              <w:numPr>
                <w:ilvl w:val="0"/>
                <w:numId w:val="2"/>
              </w:numPr>
              <w:pBdr/>
              <w:spacing w:lineRule="auto" w:line="276" w:before="0" w:after="0"/>
              <w:ind w:hanging="431" w:start="431"/>
              <w:jc w:val="both"/>
              <w:rPr>
                <w:sz w:val="18"/>
                <w:szCs w:val="18"/>
              </w:rPr>
            </w:pPr>
            <w:r>
              <w:rPr>
                <w:rFonts w:eastAsia="Arial" w:cs="Arial"/>
                <w:kern w:val="0"/>
                <w:sz w:val="18"/>
                <w:szCs w:val="18"/>
                <w:lang w:eastAsia="en-US" w:bidi="ar-SA"/>
              </w:rPr>
              <w:t>If the loan account continues to remain overdue upon running day-end process on 31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May 2025 i.e. upon completion of 90 days of being continuously overdue, it shall be classified as NPA on 31</w:t>
            </w:r>
            <w:r>
              <w:rPr>
                <w:rFonts w:eastAsia="Arial" w:cs="Arial"/>
                <w:kern w:val="0"/>
                <w:sz w:val="18"/>
                <w:szCs w:val="18"/>
                <w:vertAlign w:val="superscript"/>
                <w:lang w:eastAsia="en-US" w:bidi="ar-SA"/>
              </w:rPr>
              <w:t>st</w:t>
            </w:r>
            <w:r>
              <w:rPr>
                <w:rFonts w:eastAsia="Arial" w:cs="Arial"/>
                <w:kern w:val="0"/>
                <w:sz w:val="18"/>
                <w:szCs w:val="18"/>
                <w:lang w:eastAsia="en-US" w:bidi="ar-SA"/>
              </w:rPr>
              <w:t xml:space="preserve"> May 2025 along with all other loan accounts, if any, of the borrower(s) with the Lender.</w:t>
            </w:r>
          </w:p>
        </w:tc>
      </w:tr>
      <w:tr>
        <w:trPr>
          <w:trHeight w:val="274" w:hRule="atLeast"/>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b/>
                <w:sz w:val="18"/>
                <w:szCs w:val="18"/>
              </w:rPr>
            </w:pPr>
            <w:r>
              <w:rPr>
                <w:rFonts w:eastAsia="Arial" w:cs="Arial"/>
                <w:b/>
                <w:kern w:val="0"/>
                <w:sz w:val="18"/>
                <w:szCs w:val="18"/>
                <w:lang w:eastAsia="en-US" w:bidi="ar-SA"/>
              </w:rPr>
              <w:t>Place of arbitration</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Delhi</w:t>
            </w:r>
          </w:p>
        </w:tc>
      </w:tr>
      <w:tr>
        <w:trPr>
          <w:trHeight w:val="404" w:hRule="atLeast"/>
        </w:trPr>
        <w:tc>
          <w:tcPr>
            <w:tcW w:w="3458"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both"/>
              <w:rPr>
                <w:b/>
                <w:sz w:val="18"/>
                <w:szCs w:val="18"/>
              </w:rPr>
            </w:pPr>
            <w:r>
              <w:rPr>
                <w:rFonts w:eastAsia="Arial" w:cs="Arial"/>
                <w:b/>
                <w:kern w:val="0"/>
                <w:sz w:val="18"/>
                <w:szCs w:val="18"/>
                <w:lang w:eastAsia="en-US" w:bidi="ar-SA"/>
              </w:rPr>
              <w:t>Jurisdiction</w:t>
            </w:r>
          </w:p>
        </w:tc>
        <w:tc>
          <w:tcPr>
            <w:tcW w:w="6378"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90" w:before="0" w:after="140"/>
              <w:jc w:val="both"/>
              <w:rPr>
                <w:sz w:val="18"/>
                <w:szCs w:val="18"/>
              </w:rPr>
            </w:pPr>
            <w:r>
              <w:rPr>
                <w:rFonts w:eastAsia="Arial" w:cs="Arial"/>
                <w:kern w:val="0"/>
                <w:sz w:val="18"/>
                <w:szCs w:val="18"/>
                <w:lang w:eastAsia="en-US" w:bidi="ar-SA"/>
              </w:rPr>
              <w:t>Delhi</w:t>
            </w:r>
          </w:p>
        </w:tc>
      </w:tr>
    </w:tbl>
    <w:p>
      <w:pPr>
        <w:pStyle w:val="normal0"/>
        <w:rPr>
          <w:b/>
          <w:sz w:val="18"/>
          <w:szCs w:val="18"/>
        </w:rPr>
      </w:pPr>
      <w:r>
        <w:rPr>
          <w:b/>
          <w:sz w:val="18"/>
          <w:szCs w:val="18"/>
        </w:rPr>
      </w:r>
    </w:p>
    <w:p>
      <w:pPr>
        <w:pStyle w:val="normal0"/>
        <w:rPr>
          <w:b/>
          <w:sz w:val="18"/>
          <w:szCs w:val="18"/>
        </w:rPr>
      </w:pPr>
      <w:r>
        <w:rPr>
          <w:b/>
          <w:sz w:val="18"/>
          <w:szCs w:val="18"/>
        </w:rPr>
        <w:t xml:space="preserve">                                                    </w:t>
      </w:r>
      <w:r>
        <w:rPr>
          <w:b/>
          <w:sz w:val="18"/>
          <w:szCs w:val="18"/>
          <w:lang w:val="en-US"/>
        </w:rPr>
        <w:t xml:space="preserve">                               </w:t>
      </w:r>
      <w:r>
        <w:rPr>
          <w:b/>
          <w:sz w:val="18"/>
          <w:szCs w:val="18"/>
        </w:rPr>
        <w:t>KEY FACTS STATEMENT</w:t>
      </w:r>
    </w:p>
    <w:p>
      <w:pPr>
        <w:pStyle w:val="Heading2"/>
        <w:spacing w:lineRule="auto" w:line="264" w:before="360" w:after="13"/>
        <w:ind w:end="72"/>
        <w:rPr>
          <w:b/>
          <w:sz w:val="18"/>
          <w:szCs w:val="18"/>
        </w:rPr>
      </w:pPr>
      <w:r>
        <w:rPr>
          <w:b/>
          <w:sz w:val="18"/>
          <w:szCs w:val="18"/>
        </w:rPr>
        <w:t>Part 1 (Interest rate and fees/charges)</w:t>
      </w:r>
      <w:r>
        <w:rPr>
          <w:sz w:val="18"/>
          <w:szCs w:val="18"/>
        </w:rPr>
        <w:t xml:space="preserve"> </w:t>
      </w:r>
    </w:p>
    <w:p>
      <w:pPr>
        <w:pStyle w:val="normal0"/>
        <w:spacing w:lineRule="auto" w:line="259"/>
        <w:ind w:end="9"/>
        <w:rPr>
          <w:sz w:val="18"/>
          <w:szCs w:val="18"/>
        </w:rPr>
      </w:pPr>
      <w:r>
        <w:rPr>
          <w:b/>
          <w:sz w:val="18"/>
          <w:szCs w:val="18"/>
        </w:rPr>
        <w:t xml:space="preserve"> </w:t>
      </w:r>
    </w:p>
    <w:tbl>
      <w:tblPr>
        <w:tblStyle w:val="style4116"/>
        <w:tblW w:w="10485" w:type="dxa"/>
        <w:jc w:val="center"/>
        <w:tblInd w:w="0" w:type="dxa"/>
        <w:tblLayout w:type="fixed"/>
        <w:tblCellMar>
          <w:top w:w="0" w:type="dxa"/>
          <w:start w:w="115" w:type="dxa"/>
          <w:bottom w:w="0" w:type="dxa"/>
          <w:end w:w="115" w:type="dxa"/>
        </w:tblCellMar>
        <w:tblLook w:val="0400" w:noVBand="1" w:noHBand="0" w:lastColumn="0" w:firstColumn="0" w:lastRow="0" w:firstRow="0"/>
      </w:tblPr>
      <w:tblGrid>
        <w:gridCol w:w="839"/>
        <w:gridCol w:w="1561"/>
        <w:gridCol w:w="269"/>
        <w:gridCol w:w="390"/>
        <w:gridCol w:w="796"/>
        <w:gridCol w:w="359"/>
        <w:gridCol w:w="345"/>
        <w:gridCol w:w="181"/>
        <w:gridCol w:w="419"/>
        <w:gridCol w:w="376"/>
        <w:gridCol w:w="506"/>
        <w:gridCol w:w="904"/>
        <w:gridCol w:w="105"/>
        <w:gridCol w:w="1034"/>
        <w:gridCol w:w="800"/>
        <w:gridCol w:w="1601"/>
      </w:tblGrid>
      <w:tr>
        <w:trPr>
          <w:trHeight w:val="302"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1 </w:t>
            </w:r>
          </w:p>
        </w:tc>
        <w:tc>
          <w:tcPr>
            <w:tcW w:w="2220"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Unique Proposal Number</w:t>
            </w:r>
          </w:p>
        </w:tc>
        <w:tc>
          <w:tcPr>
            <w:tcW w:w="2100"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color w:val="9876AA"/>
                <w:sz w:val="18"/>
                <w:szCs w:val="18"/>
              </w:rPr>
            </w:pPr>
            <w:r>
              <w:rPr>
                <w:rFonts w:eastAsia="Arial" w:cs="Arial"/>
                <w:kern w:val="0"/>
                <w:sz w:val="18"/>
                <w:szCs w:val="18"/>
                <w:lang w:eastAsia="en-US" w:bidi="ar-SA"/>
              </w:rPr>
              <w:t>{{kfsUtilityId}}</w:t>
            </w:r>
          </w:p>
        </w:tc>
        <w:tc>
          <w:tcPr>
            <w:tcW w:w="2925"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b/>
                <w:kern w:val="0"/>
                <w:sz w:val="18"/>
                <w:szCs w:val="18"/>
                <w:lang w:eastAsia="en-US" w:bidi="ar-SA"/>
              </w:rPr>
              <w:t xml:space="preserve">Type of Loan </w:t>
            </w:r>
          </w:p>
        </w:tc>
        <w:tc>
          <w:tcPr>
            <w:tcW w:w="2401"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b/>
                <w:kern w:val="0"/>
                <w:sz w:val="18"/>
                <w:szCs w:val="18"/>
                <w:lang w:eastAsia="en-US" w:bidi="ar-SA"/>
              </w:rPr>
              <w:t xml:space="preserve"> </w:t>
            </w:r>
            <w:r>
              <w:rPr>
                <w:rFonts w:eastAsia="Arial" w:cs="Arial"/>
                <w:kern w:val="0"/>
                <w:sz w:val="18"/>
                <w:szCs w:val="18"/>
                <w:lang w:eastAsia="en-US" w:bidi="ar-SA"/>
              </w:rPr>
              <w:t xml:space="preserve"> </w:t>
            </w:r>
            <w:r>
              <w:rPr>
                <w:rFonts w:eastAsia="Arial" w:cs="Arial"/>
                <w:kern w:val="0"/>
                <w:sz w:val="18"/>
                <w:szCs w:val="18"/>
                <w:lang w:eastAsia="en-US" w:bidi="ar-SA"/>
              </w:rPr>
              <w:t>Loan against securities</w:t>
            </w:r>
          </w:p>
        </w:tc>
      </w:tr>
      <w:tr>
        <w:trPr>
          <w:trHeight w:val="300"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2 </w:t>
            </w:r>
          </w:p>
        </w:tc>
        <w:tc>
          <w:tcPr>
            <w:tcW w:w="4320" w:type="dxa"/>
            <w:gridSpan w:val="8"/>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Facility Value Limit</w:t>
            </w:r>
          </w:p>
        </w:tc>
        <w:tc>
          <w:tcPr>
            <w:tcW w:w="5326" w:type="dxa"/>
            <w:gridSpan w:val="7"/>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140"/>
              <w:jc w:val="both"/>
              <w:rPr>
                <w:sz w:val="18"/>
                <w:szCs w:val="18"/>
              </w:rPr>
            </w:pPr>
            <w:r>
              <w:rPr>
                <w:rFonts w:eastAsia="Arial" w:cs="Arial"/>
                <w:kern w:val="0"/>
                <w:sz w:val="18"/>
                <w:szCs w:val="18"/>
                <w:lang w:eastAsia="en-US" w:bidi="ar-SA"/>
              </w:rPr>
              <w:t xml:space="preserve"> ₹</w:t>
            </w:r>
            <w:r>
              <w:rPr>
                <w:rFonts w:eastAsia="Arial" w:cs="Arial"/>
                <w:kern w:val="0"/>
                <w:sz w:val="18"/>
                <w:szCs w:val="18"/>
                <w:lang w:eastAsia="en-US" w:bidi="ar-SA"/>
              </w:rPr>
              <w:t>{{kfsData.terms.creditLimit.inNumber}}</w:t>
              <w:br/>
              <w:br/>
              <w:t>Facility Value Limit is determined on the basis of the Market Value of Collateral provided by the Borrower(s) and/or the Security Provider(s). Facility Value Limit will be increased or decreased based on addition or withdrawal of Collateral by the Borrower(s) and/or the Security Provider(s).</w:t>
            </w:r>
          </w:p>
          <w:p>
            <w:pPr>
              <w:pStyle w:val="normal0"/>
              <w:widowControl/>
              <w:spacing w:lineRule="auto" w:line="259" w:before="0" w:after="0"/>
              <w:jc w:val="start"/>
              <w:rPr>
                <w:sz w:val="18"/>
                <w:szCs w:val="18"/>
              </w:rPr>
            </w:pPr>
            <w:r>
              <w:rPr>
                <w:rFonts w:eastAsia="Arial" w:cs="Arial"/>
                <w:kern w:val="0"/>
                <w:sz w:val="18"/>
                <w:szCs w:val="18"/>
                <w:lang w:eastAsia="en-US" w:bidi="ar-SA"/>
              </w:rPr>
              <w:t>For the avoidance of doubt, the Facility Value Limit cannot be more than INR {{kfsData.terms.sanctionLimit.inNumber}} (Rupees {{kfsData.terms.sanctionLimit.inWords}}) at any point, unless increased/decreased pursuant to the internal policies of the Lender or Applicable Laws.</w:t>
            </w:r>
          </w:p>
        </w:tc>
      </w:tr>
      <w:tr>
        <w:trPr>
          <w:trHeight w:val="1114"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3 </w:t>
            </w:r>
          </w:p>
        </w:tc>
        <w:tc>
          <w:tcPr>
            <w:tcW w:w="4320" w:type="dxa"/>
            <w:gridSpan w:val="8"/>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Disbursal schedule  </w:t>
            </w:r>
          </w:p>
          <w:p>
            <w:pPr>
              <w:pStyle w:val="normal0"/>
              <w:widowControl/>
              <w:spacing w:lineRule="auto" w:line="259" w:before="0" w:after="0"/>
              <w:jc w:val="start"/>
              <w:rPr>
                <w:sz w:val="18"/>
                <w:szCs w:val="18"/>
              </w:rPr>
            </w:pPr>
            <w:r>
              <w:rPr>
                <w:rFonts w:eastAsia="Arial" w:cs="Arial"/>
                <w:kern w:val="0"/>
                <w:sz w:val="18"/>
                <w:szCs w:val="18"/>
                <w:lang w:eastAsia="en-US" w:bidi="ar-SA"/>
              </w:rPr>
            </w:r>
          </w:p>
        </w:tc>
        <w:tc>
          <w:tcPr>
            <w:tcW w:w="5326" w:type="dxa"/>
            <w:gridSpan w:val="7"/>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kern w:val="0"/>
                <w:sz w:val="18"/>
                <w:szCs w:val="18"/>
                <w:lang w:eastAsia="en-US" w:bidi="ar-SA"/>
              </w:rPr>
              <w:t>Flexible disbursements.</w:t>
              <w:br/>
            </w:r>
          </w:p>
          <w:p>
            <w:pPr>
              <w:pStyle w:val="normal0"/>
              <w:widowControl/>
              <w:spacing w:lineRule="auto" w:line="259" w:before="0" w:after="0"/>
              <w:ind w:start="20"/>
              <w:jc w:val="start"/>
              <w:rPr>
                <w:sz w:val="18"/>
                <w:szCs w:val="18"/>
              </w:rPr>
            </w:pPr>
            <w:r>
              <w:rPr>
                <w:rFonts w:eastAsia="Arial" w:cs="Arial"/>
                <w:kern w:val="0"/>
                <w:sz w:val="18"/>
                <w:szCs w:val="18"/>
                <w:lang w:eastAsia="en-US" w:bidi="ar-SA"/>
              </w:rPr>
              <w:t>Disbursements will be made based on the customer's drawdown requests.</w:t>
              <w:br/>
            </w:r>
          </w:p>
          <w:p>
            <w:pPr>
              <w:pStyle w:val="normal0"/>
              <w:widowControl/>
              <w:spacing w:lineRule="auto" w:line="259" w:before="0" w:after="0"/>
              <w:jc w:val="start"/>
              <w:rPr>
                <w:i/>
                <w:i/>
                <w:sz w:val="18"/>
                <w:szCs w:val="18"/>
              </w:rPr>
            </w:pPr>
            <w:r>
              <w:rPr>
                <w:rFonts w:eastAsia="Arial" w:cs="Arial"/>
                <w:i/>
                <w:kern w:val="0"/>
                <w:sz w:val="18"/>
                <w:szCs w:val="18"/>
                <w:lang w:eastAsia="en-US" w:bidi="ar-SA"/>
              </w:rPr>
              <w:t xml:space="preserve">For further clarification, refer to </w:t>
            </w:r>
            <w:r>
              <w:rPr>
                <w:rFonts w:eastAsia="Arial" w:cs="Arial"/>
                <w:b/>
                <w:i/>
                <w:kern w:val="0"/>
                <w:sz w:val="18"/>
                <w:szCs w:val="18"/>
                <w:lang w:eastAsia="en-US" w:bidi="ar-SA"/>
              </w:rPr>
              <w:t xml:space="preserve">Clause 2.2 </w:t>
            </w:r>
            <w:r>
              <w:rPr>
                <w:rFonts w:eastAsia="Arial" w:cs="Arial"/>
                <w:i/>
                <w:kern w:val="0"/>
                <w:sz w:val="18"/>
                <w:szCs w:val="18"/>
                <w:lang w:eastAsia="en-US" w:bidi="ar-SA"/>
              </w:rPr>
              <w:t>from the general terms &amp; conditions of loan agreement.</w:t>
            </w:r>
          </w:p>
        </w:tc>
      </w:tr>
      <w:tr>
        <w:trPr>
          <w:trHeight w:val="301"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4 </w:t>
            </w:r>
          </w:p>
        </w:tc>
        <w:tc>
          <w:tcPr>
            <w:tcW w:w="4320" w:type="dxa"/>
            <w:gridSpan w:val="8"/>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Loan term (year/months/days) </w:t>
            </w:r>
          </w:p>
        </w:tc>
        <w:tc>
          <w:tcPr>
            <w:tcW w:w="5326" w:type="dxa"/>
            <w:gridSpan w:val="7"/>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3"/>
              <w:jc w:val="start"/>
              <w:rPr>
                <w:i/>
                <w:i/>
                <w:sz w:val="18"/>
                <w:szCs w:val="18"/>
              </w:rPr>
            </w:pPr>
            <w:r>
              <w:rPr>
                <w:rFonts w:eastAsia="Arial" w:cs="Arial"/>
                <w:kern w:val="0"/>
                <w:sz w:val="18"/>
                <w:szCs w:val="18"/>
                <w:lang w:eastAsia="en-US" w:bidi="ar-SA"/>
              </w:rPr>
              <w:t xml:space="preserve"> </w:t>
            </w:r>
            <w:r>
              <w:rPr>
                <w:rFonts w:eastAsia="Arial" w:cs="Arial"/>
                <w:kern w:val="0"/>
                <w:sz w:val="18"/>
                <w:szCs w:val="18"/>
                <w:lang w:eastAsia="en-US" w:bidi="ar-SA"/>
              </w:rPr>
              <w:t>{{kfsData.terms.months}} months {{kfsData.terms.days}} days</w:t>
              <w:br/>
              <w:br/>
              <w:t>Loan maturity date: {{kfsData.terms.maturityDate}}</w:t>
              <w:br/>
              <w:br/>
            </w:r>
            <w:r>
              <w:rPr>
                <w:rFonts w:eastAsia="Arial" w:cs="Arial"/>
                <w:i/>
                <w:kern w:val="0"/>
                <w:sz w:val="18"/>
                <w:szCs w:val="18"/>
                <w:lang w:eastAsia="en-US" w:bidi="ar-SA"/>
              </w:rPr>
              <w:t>Can be renewed basis lender’s review</w:t>
            </w:r>
          </w:p>
        </w:tc>
      </w:tr>
      <w:tr>
        <w:trPr>
          <w:trHeight w:val="301"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5 </w:t>
            </w:r>
          </w:p>
        </w:tc>
        <w:tc>
          <w:tcPr>
            <w:tcW w:w="9646" w:type="dxa"/>
            <w:gridSpan w:val="1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Installment details </w:t>
            </w:r>
          </w:p>
        </w:tc>
      </w:tr>
      <w:tr>
        <w:trPr>
          <w:trHeight w:val="247" w:hRule="atLeast"/>
        </w:trPr>
        <w:tc>
          <w:tcPr>
            <w:tcW w:w="2669"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Type of installments </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6"/>
              <w:jc w:val="start"/>
              <w:rPr>
                <w:sz w:val="18"/>
                <w:szCs w:val="18"/>
              </w:rPr>
            </w:pPr>
            <w:r>
              <w:rPr>
                <w:rFonts w:eastAsia="Arial" w:cs="Arial"/>
                <w:kern w:val="0"/>
                <w:sz w:val="18"/>
                <w:szCs w:val="18"/>
                <w:lang w:eastAsia="en-US" w:bidi="ar-SA"/>
              </w:rPr>
              <w:t xml:space="preserve">Number of EPIs </w:t>
            </w:r>
          </w:p>
        </w:tc>
        <w:tc>
          <w:tcPr>
            <w:tcW w:w="2186" w:type="dxa"/>
            <w:gridSpan w:val="6"/>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5"/>
              <w:jc w:val="start"/>
              <w:rPr>
                <w:sz w:val="18"/>
                <w:szCs w:val="18"/>
              </w:rPr>
            </w:pPr>
            <w:r>
              <w:rPr>
                <w:rFonts w:eastAsia="Arial" w:cs="Arial"/>
                <w:kern w:val="0"/>
                <w:sz w:val="18"/>
                <w:szCs w:val="18"/>
                <w:lang w:eastAsia="en-US" w:bidi="ar-SA"/>
              </w:rPr>
              <w:t xml:space="preserve">EPI (₹) </w:t>
            </w:r>
          </w:p>
          <w:p>
            <w:pPr>
              <w:pStyle w:val="normal0"/>
              <w:widowControl/>
              <w:spacing w:lineRule="auto" w:line="259" w:before="0" w:after="0"/>
              <w:ind w:end="77"/>
              <w:jc w:val="start"/>
              <w:rPr>
                <w:sz w:val="18"/>
                <w:szCs w:val="18"/>
              </w:rPr>
            </w:pPr>
            <w:r>
              <w:rPr>
                <w:rFonts w:eastAsia="Arial" w:cs="Arial"/>
                <w:kern w:val="0"/>
                <w:sz w:val="18"/>
                <w:szCs w:val="18"/>
                <w:lang w:eastAsia="en-US" w:bidi="ar-SA"/>
              </w:rPr>
              <w:t xml:space="preserve"> </w:t>
            </w:r>
          </w:p>
        </w:tc>
        <w:tc>
          <w:tcPr>
            <w:tcW w:w="4444"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7"/>
              <w:jc w:val="start"/>
              <w:rPr>
                <w:sz w:val="18"/>
                <w:szCs w:val="18"/>
              </w:rPr>
            </w:pPr>
            <w:r>
              <w:rPr>
                <w:rFonts w:eastAsia="Arial" w:cs="Arial"/>
                <w:kern w:val="0"/>
                <w:sz w:val="18"/>
                <w:szCs w:val="18"/>
                <w:lang w:eastAsia="en-US" w:bidi="ar-SA"/>
              </w:rPr>
              <w:t>Commencement of repayment, post sanction</w:t>
            </w:r>
          </w:p>
        </w:tc>
      </w:tr>
      <w:tr>
        <w:trPr>
          <w:trHeight w:val="301" w:hRule="atLeast"/>
        </w:trPr>
        <w:tc>
          <w:tcPr>
            <w:tcW w:w="2669"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 </w:t>
            </w:r>
            <w:r>
              <w:rPr>
                <w:rFonts w:eastAsia="Arial" w:cs="Arial"/>
                <w:kern w:val="0"/>
                <w:sz w:val="18"/>
                <w:szCs w:val="18"/>
                <w:lang w:eastAsia="en-US" w:bidi="ar-SA"/>
              </w:rPr>
              <w:t>Monthly</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{{kfsData.installmentDetails.totalInstallments}}</w:t>
            </w:r>
          </w:p>
        </w:tc>
        <w:tc>
          <w:tcPr>
            <w:tcW w:w="2186" w:type="dxa"/>
            <w:gridSpan w:val="6"/>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13"/>
              <w:jc w:val="start"/>
              <w:rPr>
                <w:sz w:val="18"/>
                <w:szCs w:val="18"/>
              </w:rPr>
            </w:pPr>
            <w:r>
              <w:rPr>
                <w:rFonts w:eastAsia="Arial" w:cs="Arial"/>
                <w:kern w:val="0"/>
                <w:sz w:val="18"/>
                <w:szCs w:val="18"/>
                <w:highlight w:val="white"/>
                <w:lang w:eastAsia="en-US" w:bidi="ar-SA"/>
              </w:rPr>
              <w:t>As per repayment schedule</w:t>
            </w:r>
          </w:p>
        </w:tc>
        <w:tc>
          <w:tcPr>
            <w:tcW w:w="4444"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13"/>
              <w:jc w:val="start"/>
              <w:rPr>
                <w:sz w:val="18"/>
                <w:szCs w:val="18"/>
              </w:rPr>
            </w:pPr>
            <w:r>
              <w:rPr>
                <w:rFonts w:eastAsia="Arial" w:cs="Arial"/>
                <w:kern w:val="0"/>
                <w:sz w:val="18"/>
                <w:szCs w:val="18"/>
                <w:lang w:eastAsia="en-US" w:bidi="ar-SA"/>
              </w:rPr>
              <w:t>1st of the month immediately following the date of 1st disbursement</w:t>
            </w:r>
          </w:p>
        </w:tc>
      </w:tr>
      <w:tr>
        <w:trPr>
          <w:trHeight w:val="301"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6 </w:t>
            </w:r>
          </w:p>
        </w:tc>
        <w:tc>
          <w:tcPr>
            <w:tcW w:w="1561"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Interest rate (%)</w:t>
            </w:r>
          </w:p>
        </w:tc>
        <w:tc>
          <w:tcPr>
            <w:tcW w:w="1814" w:type="dxa"/>
            <w:gridSpan w:val="4"/>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{{kfsData.interestDetails.interestRate}}% p.a.</w:t>
            </w:r>
          </w:p>
        </w:tc>
        <w:tc>
          <w:tcPr>
            <w:tcW w:w="2836" w:type="dxa"/>
            <w:gridSpan w:val="7"/>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Interest Type </w:t>
            </w:r>
          </w:p>
        </w:tc>
        <w:tc>
          <w:tcPr>
            <w:tcW w:w="3435"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Floating</w:t>
            </w:r>
          </w:p>
        </w:tc>
      </w:tr>
      <w:tr>
        <w:trPr>
          <w:trHeight w:val="389"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7 </w:t>
            </w:r>
          </w:p>
        </w:tc>
        <w:tc>
          <w:tcPr>
            <w:tcW w:w="9646" w:type="dxa"/>
            <w:gridSpan w:val="1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Additional Information in case of Floating rate of interest </w:t>
            </w:r>
          </w:p>
        </w:tc>
      </w:tr>
      <w:tr>
        <w:trPr>
          <w:trHeight w:val="631" w:hRule="atLeast"/>
        </w:trPr>
        <w:tc>
          <w:tcPr>
            <w:tcW w:w="2669" w:type="dxa"/>
            <w:gridSpan w:val="3"/>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Reference Benchmark  </w:t>
            </w:r>
          </w:p>
        </w:tc>
        <w:tc>
          <w:tcPr>
            <w:tcW w:w="1186" w:type="dxa"/>
            <w:gridSpan w:val="2"/>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8"/>
              <w:jc w:val="start"/>
              <w:rPr>
                <w:sz w:val="18"/>
                <w:szCs w:val="18"/>
              </w:rPr>
            </w:pPr>
            <w:r>
              <w:rPr>
                <w:rFonts w:eastAsia="Arial" w:cs="Arial"/>
                <w:kern w:val="0"/>
                <w:sz w:val="18"/>
                <w:szCs w:val="18"/>
                <w:lang w:eastAsia="en-US" w:bidi="ar-SA"/>
              </w:rPr>
              <w:t xml:space="preserve">Benchmark rate (%) (B) </w:t>
            </w:r>
          </w:p>
        </w:tc>
        <w:tc>
          <w:tcPr>
            <w:tcW w:w="885" w:type="dxa"/>
            <w:gridSpan w:val="3"/>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kern w:val="0"/>
                <w:sz w:val="18"/>
                <w:szCs w:val="18"/>
                <w:lang w:eastAsia="en-US" w:bidi="ar-SA"/>
              </w:rPr>
              <w:t xml:space="preserve">Spread (%) (S) </w:t>
            </w:r>
          </w:p>
        </w:tc>
        <w:tc>
          <w:tcPr>
            <w:tcW w:w="2310" w:type="dxa"/>
            <w:gridSpan w:val="5"/>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2"/>
              <w:jc w:val="start"/>
              <w:rPr>
                <w:sz w:val="18"/>
                <w:szCs w:val="18"/>
              </w:rPr>
            </w:pPr>
            <w:r>
              <w:rPr>
                <w:rFonts w:eastAsia="Arial" w:cs="Arial"/>
                <w:kern w:val="0"/>
                <w:sz w:val="18"/>
                <w:szCs w:val="18"/>
                <w:lang w:eastAsia="en-US" w:bidi="ar-SA"/>
              </w:rPr>
              <w:t xml:space="preserve">Final rate (%) R = (B) + (S) </w:t>
            </w:r>
          </w:p>
        </w:tc>
        <w:tc>
          <w:tcPr>
            <w:tcW w:w="3435"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6"/>
              <w:jc w:val="start"/>
              <w:rPr>
                <w:sz w:val="18"/>
                <w:szCs w:val="18"/>
              </w:rPr>
            </w:pPr>
            <w:r>
              <w:rPr>
                <w:rFonts w:eastAsia="Arial" w:cs="Arial"/>
                <w:kern w:val="0"/>
                <w:sz w:val="18"/>
                <w:szCs w:val="18"/>
                <w:lang w:eastAsia="en-US" w:bidi="ar-SA"/>
              </w:rPr>
              <w:t xml:space="preserve">Reset periodicity (Months) </w:t>
            </w:r>
          </w:p>
        </w:tc>
      </w:tr>
      <w:tr>
        <w:trPr>
          <w:trHeight w:val="320" w:hRule="atLeast"/>
        </w:trPr>
        <w:tc>
          <w:tcPr>
            <w:tcW w:w="2669" w:type="dxa"/>
            <w:gridSpan w:val="3"/>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1186" w:type="dxa"/>
            <w:gridSpan w:val="2"/>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885" w:type="dxa"/>
            <w:gridSpan w:val="3"/>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10" w:type="dxa"/>
            <w:gridSpan w:val="5"/>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1834"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3"/>
              <w:jc w:val="start"/>
              <w:rPr>
                <w:sz w:val="18"/>
                <w:szCs w:val="18"/>
              </w:rPr>
            </w:pPr>
            <w:r>
              <w:rPr>
                <w:rFonts w:eastAsia="Arial" w:cs="Arial"/>
                <w:kern w:val="0"/>
                <w:sz w:val="18"/>
                <w:szCs w:val="18"/>
                <w:lang w:eastAsia="en-US" w:bidi="ar-SA"/>
              </w:rPr>
              <w:t xml:space="preserve">B </w:t>
            </w:r>
          </w:p>
        </w:tc>
        <w:tc>
          <w:tcPr>
            <w:tcW w:w="1601"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3"/>
              <w:jc w:val="start"/>
              <w:rPr>
                <w:sz w:val="18"/>
                <w:szCs w:val="18"/>
              </w:rPr>
            </w:pPr>
            <w:r>
              <w:rPr>
                <w:rFonts w:eastAsia="Arial" w:cs="Arial"/>
                <w:kern w:val="0"/>
                <w:sz w:val="18"/>
                <w:szCs w:val="18"/>
                <w:lang w:eastAsia="en-US" w:bidi="ar-SA"/>
              </w:rPr>
              <w:t>S</w:t>
            </w:r>
          </w:p>
        </w:tc>
      </w:tr>
      <w:tr>
        <w:trPr>
          <w:trHeight w:val="390" w:hRule="atLeast"/>
        </w:trPr>
        <w:tc>
          <w:tcPr>
            <w:tcW w:w="2669"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{{kfsData.interestDetails.referenceBenchmark}}</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{{kfsData.interestDetails.benchmarkRate}}%</w:t>
            </w:r>
          </w:p>
        </w:tc>
        <w:tc>
          <w:tcPr>
            <w:tcW w:w="885"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{{kfsData.interestDetails.spread}}%</w:t>
            </w:r>
          </w:p>
        </w:tc>
        <w:tc>
          <w:tcPr>
            <w:tcW w:w="2310"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{{kfsData.interestDetails.interestRate}}% p.a.</w:t>
            </w:r>
          </w:p>
        </w:tc>
        <w:tc>
          <w:tcPr>
            <w:tcW w:w="3435"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15"/>
              <w:jc w:val="start"/>
              <w:rPr>
                <w:sz w:val="18"/>
                <w:szCs w:val="18"/>
              </w:rPr>
            </w:pPr>
            <w:r>
              <w:rPr>
                <w:rFonts w:eastAsia="Arial" w:cs="Arial"/>
                <w:kern w:val="0"/>
                <w:sz w:val="18"/>
                <w:szCs w:val="18"/>
                <w:lang w:eastAsia="en-US" w:bidi="ar-SA"/>
              </w:rPr>
              <w:t>At such intervals as may be decided by DSP Finance Pvt Ltd</w:t>
            </w:r>
          </w:p>
          <w:p>
            <w:pPr>
              <w:pStyle w:val="normal0"/>
              <w:widowControl/>
              <w:spacing w:lineRule="auto" w:line="259" w:before="0" w:after="0"/>
              <w:ind w:end="15"/>
              <w:jc w:val="start"/>
              <w:rPr>
                <w:sz w:val="18"/>
                <w:szCs w:val="18"/>
              </w:rPr>
            </w:pPr>
            <w:r>
              <w:rPr>
                <w:rFonts w:eastAsia="Arial" w:cs="Arial"/>
                <w:kern w:val="0"/>
                <w:sz w:val="18"/>
                <w:szCs w:val="18"/>
                <w:lang w:eastAsia="en-US" w:bidi="ar-SA"/>
              </w:rPr>
              <w:t xml:space="preserve"> </w:t>
            </w:r>
          </w:p>
        </w:tc>
      </w:tr>
      <w:tr>
        <w:trPr>
          <w:trHeight w:val="389" w:hRule="atLeast"/>
        </w:trPr>
        <w:tc>
          <w:tcPr>
            <w:tcW w:w="839"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8 </w:t>
            </w:r>
          </w:p>
        </w:tc>
        <w:tc>
          <w:tcPr>
            <w:tcW w:w="9646" w:type="dxa"/>
            <w:gridSpan w:val="1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Fee/ Charges</w:t>
            </w:r>
          </w:p>
        </w:tc>
      </w:tr>
      <w:tr>
        <w:trPr>
          <w:trHeight w:val="320" w:hRule="atLeast"/>
        </w:trPr>
        <w:tc>
          <w:tcPr>
            <w:tcW w:w="2669" w:type="dxa"/>
            <w:gridSpan w:val="3"/>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 </w:t>
            </w:r>
          </w:p>
        </w:tc>
        <w:tc>
          <w:tcPr>
            <w:tcW w:w="2866" w:type="dxa"/>
            <w:gridSpan w:val="7"/>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7"/>
              <w:jc w:val="start"/>
              <w:rPr>
                <w:sz w:val="18"/>
                <w:szCs w:val="18"/>
              </w:rPr>
            </w:pPr>
            <w:r>
              <w:rPr>
                <w:rFonts w:eastAsia="Arial" w:cs="Arial"/>
                <w:kern w:val="0"/>
                <w:sz w:val="18"/>
                <w:szCs w:val="18"/>
                <w:lang w:eastAsia="en-US" w:bidi="ar-SA"/>
              </w:rPr>
              <w:t xml:space="preserve">Payable to DSP Fin (A) </w:t>
            </w:r>
          </w:p>
        </w:tc>
        <w:tc>
          <w:tcPr>
            <w:tcW w:w="4950" w:type="dxa"/>
            <w:gridSpan w:val="6"/>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7"/>
              <w:jc w:val="start"/>
              <w:rPr>
                <w:sz w:val="18"/>
                <w:szCs w:val="18"/>
              </w:rPr>
            </w:pPr>
            <w:r>
              <w:rPr>
                <w:rFonts w:eastAsia="Arial" w:cs="Arial"/>
                <w:kern w:val="0"/>
                <w:sz w:val="18"/>
                <w:szCs w:val="18"/>
                <w:lang w:eastAsia="en-US" w:bidi="ar-SA"/>
              </w:rPr>
              <w:t xml:space="preserve">Payable to a third party through DSP Fin (B) </w:t>
            </w:r>
          </w:p>
        </w:tc>
      </w:tr>
      <w:tr>
        <w:trPr>
          <w:trHeight w:val="1046"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 </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end="28"/>
              <w:jc w:val="start"/>
              <w:rPr>
                <w:sz w:val="18"/>
                <w:szCs w:val="18"/>
              </w:rPr>
            </w:pPr>
            <w:r>
              <w:rPr>
                <w:rFonts w:eastAsia="Arial" w:cs="Arial"/>
                <w:kern w:val="0"/>
                <w:sz w:val="18"/>
                <w:szCs w:val="18"/>
                <w:lang w:eastAsia="en-US" w:bidi="ar-SA"/>
              </w:rPr>
              <w:t xml:space="preserve"> </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
              <w:jc w:val="start"/>
              <w:rPr>
                <w:sz w:val="18"/>
                <w:szCs w:val="18"/>
              </w:rPr>
            </w:pPr>
            <w:r>
              <w:rPr>
                <w:rFonts w:eastAsia="Arial" w:cs="Arial"/>
                <w:kern w:val="0"/>
                <w:sz w:val="18"/>
                <w:szCs w:val="18"/>
                <w:lang w:eastAsia="en-US" w:bidi="ar-SA"/>
              </w:rPr>
              <w:t xml:space="preserve">One-time/ Recurring </w:t>
            </w:r>
          </w:p>
        </w:tc>
        <w:tc>
          <w:tcPr>
            <w:tcW w:w="1680"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5"/>
              <w:jc w:val="start"/>
              <w:rPr>
                <w:sz w:val="18"/>
                <w:szCs w:val="18"/>
              </w:rPr>
            </w:pPr>
            <w:r>
              <w:rPr>
                <w:rFonts w:eastAsia="Arial" w:cs="Arial"/>
                <w:kern w:val="0"/>
                <w:sz w:val="18"/>
                <w:szCs w:val="18"/>
                <w:lang w:eastAsia="en-US" w:bidi="ar-SA"/>
              </w:rPr>
              <w:t xml:space="preserve">Amount (in ₹) or Percentage (%) as applicable </w:t>
            </w:r>
          </w:p>
        </w:tc>
        <w:tc>
          <w:tcPr>
            <w:tcW w:w="1410"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77"/>
              <w:jc w:val="start"/>
              <w:rPr>
                <w:sz w:val="18"/>
                <w:szCs w:val="18"/>
              </w:rPr>
            </w:pPr>
            <w:r>
              <w:rPr>
                <w:rFonts w:eastAsia="Arial" w:cs="Arial"/>
                <w:kern w:val="0"/>
                <w:sz w:val="18"/>
                <w:szCs w:val="18"/>
                <w:lang w:eastAsia="en-US" w:bidi="ar-SA"/>
              </w:rPr>
              <w:t>One-time/</w:t>
              <w:br/>
              <w:t xml:space="preserve">Recurring  </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Amount (in ₹) or Percentage (%) as applicable</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(i) </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kern w:val="0"/>
                <w:sz w:val="18"/>
                <w:szCs w:val="18"/>
                <w:lang w:eastAsia="en-US" w:bidi="ar-SA"/>
              </w:rPr>
              <w:t xml:space="preserve">Processing fees  </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3"/>
              <w:jc w:val="start"/>
              <w:rPr>
                <w:sz w:val="18"/>
                <w:szCs w:val="18"/>
              </w:rPr>
            </w:pPr>
            <w:r>
              <w:rPr>
                <w:rFonts w:eastAsia="Arial" w:cs="Arial"/>
                <w:kern w:val="0"/>
                <w:sz w:val="18"/>
                <w:szCs w:val="18"/>
                <w:lang w:eastAsia="en-US" w:bidi="ar-SA"/>
              </w:rPr>
              <w:t>One time</w:t>
            </w:r>
          </w:p>
        </w:tc>
        <w:tc>
          <w:tcPr>
            <w:tcW w:w="1680"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{{kfsData.applicableFees.processingFees.baseFee.value}} (excl. GST)</w:t>
            </w:r>
          </w:p>
        </w:tc>
        <w:tc>
          <w:tcPr>
            <w:tcW w:w="1410"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5"/>
              <w:jc w:val="start"/>
              <w:rPr>
                <w:sz w:val="18"/>
                <w:szCs w:val="18"/>
              </w:rPr>
            </w:pPr>
            <w:r>
              <w:rPr>
                <w:rFonts w:eastAsia="Arial" w:cs="Arial"/>
                <w:kern w:val="0"/>
                <w:sz w:val="18"/>
                <w:szCs w:val="18"/>
                <w:lang w:eastAsia="en-US" w:bidi="ar-SA"/>
              </w:rPr>
              <w:t>NA</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5"/>
              <w:jc w:val="start"/>
              <w:rPr>
                <w:sz w:val="18"/>
                <w:szCs w:val="18"/>
              </w:rPr>
            </w:pPr>
            <w:r>
              <w:rPr>
                <w:rFonts w:eastAsia="Arial" w:cs="Arial"/>
                <w:kern w:val="0"/>
                <w:sz w:val="18"/>
                <w:szCs w:val="18"/>
                <w:lang w:eastAsia="en-US" w:bidi="ar-SA"/>
              </w:rPr>
              <w:t>NA</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(ii)</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kern w:val="0"/>
                <w:sz w:val="18"/>
                <w:szCs w:val="18"/>
                <w:lang w:eastAsia="en-US" w:bidi="ar-SA"/>
              </w:rPr>
              <w:t>Annual maintenance charges</w:t>
            </w:r>
          </w:p>
        </w:tc>
        <w:tc>
          <w:tcPr>
            <w:tcW w:w="118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3"/>
              <w:jc w:val="start"/>
              <w:rPr>
                <w:sz w:val="18"/>
                <w:szCs w:val="18"/>
              </w:rPr>
            </w:pPr>
            <w:r>
              <w:rPr>
                <w:rFonts w:eastAsia="Arial" w:cs="Arial"/>
                <w:kern w:val="0"/>
                <w:sz w:val="18"/>
                <w:szCs w:val="18"/>
                <w:lang w:eastAsia="en-US" w:bidi="ar-SA"/>
              </w:rPr>
              <w:t>Recurring</w:t>
            </w:r>
          </w:p>
        </w:tc>
        <w:tc>
          <w:tcPr>
            <w:tcW w:w="1680"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NIL</w:t>
            </w:r>
          </w:p>
        </w:tc>
        <w:tc>
          <w:tcPr>
            <w:tcW w:w="1410"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5"/>
              <w:jc w:val="start"/>
              <w:rPr>
                <w:sz w:val="18"/>
                <w:szCs w:val="18"/>
              </w:rPr>
            </w:pPr>
            <w:r>
              <w:rPr>
                <w:rFonts w:eastAsia="Arial" w:cs="Arial"/>
                <w:kern w:val="0"/>
                <w:sz w:val="18"/>
                <w:szCs w:val="18"/>
                <w:lang w:eastAsia="en-US" w:bidi="ar-SA"/>
              </w:rPr>
              <w:t>NA</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end="25"/>
              <w:jc w:val="start"/>
              <w:rPr>
                <w:sz w:val="18"/>
                <w:szCs w:val="18"/>
              </w:rPr>
            </w:pPr>
            <w:r>
              <w:rPr>
                <w:rFonts w:eastAsia="Arial" w:cs="Arial"/>
                <w:kern w:val="0"/>
                <w:sz w:val="18"/>
                <w:szCs w:val="18"/>
                <w:lang w:eastAsia="en-US" w:bidi="ar-SA"/>
              </w:rPr>
              <w:t>NA</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(ii) </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kern w:val="0"/>
                <w:sz w:val="18"/>
                <w:szCs w:val="18"/>
                <w:lang w:eastAsia="en-US" w:bidi="ar-SA"/>
              </w:rPr>
              <w:t xml:space="preserve">Insurance charges  </w:t>
            </w:r>
          </w:p>
        </w:tc>
        <w:tc>
          <w:tcPr>
            <w:tcW w:w="1186"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3"/>
              <w:jc w:val="start"/>
              <w:rPr>
                <w:sz w:val="18"/>
                <w:szCs w:val="18"/>
              </w:rPr>
            </w:pPr>
            <w:r>
              <w:rPr>
                <w:rFonts w:eastAsia="Arial" w:cs="Arial"/>
                <w:kern w:val="0"/>
                <w:sz w:val="18"/>
                <w:szCs w:val="18"/>
                <w:lang w:eastAsia="en-US" w:bidi="ar-SA"/>
              </w:rPr>
              <w:t>NA</w:t>
            </w:r>
          </w:p>
        </w:tc>
        <w:tc>
          <w:tcPr>
            <w:tcW w:w="1680" w:type="dxa"/>
            <w:gridSpan w:val="5"/>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6"/>
              <w:jc w:val="start"/>
              <w:rPr>
                <w:sz w:val="18"/>
                <w:szCs w:val="18"/>
              </w:rPr>
            </w:pPr>
            <w:r>
              <w:rPr>
                <w:rFonts w:eastAsia="Arial" w:cs="Arial"/>
                <w:kern w:val="0"/>
                <w:sz w:val="18"/>
                <w:szCs w:val="18"/>
                <w:lang w:eastAsia="en-US" w:bidi="ar-SA"/>
              </w:rPr>
              <w:t>NA</w:t>
            </w:r>
          </w:p>
        </w:tc>
        <w:tc>
          <w:tcPr>
            <w:tcW w:w="1410"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c>
          <w:tcPr>
            <w:tcW w:w="3540" w:type="dxa"/>
            <w:gridSpan w:val="4"/>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(iii) </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kern w:val="0"/>
                <w:sz w:val="18"/>
                <w:szCs w:val="18"/>
                <w:lang w:eastAsia="en-US" w:bidi="ar-SA"/>
              </w:rPr>
              <w:t xml:space="preserve">Valuation fees  </w:t>
            </w:r>
          </w:p>
        </w:tc>
        <w:tc>
          <w:tcPr>
            <w:tcW w:w="1186"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3"/>
              <w:jc w:val="start"/>
              <w:rPr>
                <w:sz w:val="18"/>
                <w:szCs w:val="18"/>
              </w:rPr>
            </w:pPr>
            <w:r>
              <w:rPr>
                <w:rFonts w:eastAsia="Arial" w:cs="Arial"/>
                <w:kern w:val="0"/>
                <w:sz w:val="18"/>
                <w:szCs w:val="18"/>
                <w:lang w:eastAsia="en-US" w:bidi="ar-SA"/>
              </w:rPr>
              <w:t>NA</w:t>
            </w:r>
          </w:p>
        </w:tc>
        <w:tc>
          <w:tcPr>
            <w:tcW w:w="1680" w:type="dxa"/>
            <w:gridSpan w:val="5"/>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6"/>
              <w:jc w:val="start"/>
              <w:rPr>
                <w:sz w:val="18"/>
                <w:szCs w:val="18"/>
              </w:rPr>
            </w:pPr>
            <w:r>
              <w:rPr>
                <w:rFonts w:eastAsia="Arial" w:cs="Arial"/>
                <w:kern w:val="0"/>
                <w:sz w:val="18"/>
                <w:szCs w:val="18"/>
                <w:lang w:eastAsia="en-US" w:bidi="ar-SA"/>
              </w:rPr>
              <w:t>NA</w:t>
            </w:r>
          </w:p>
        </w:tc>
        <w:tc>
          <w:tcPr>
            <w:tcW w:w="1410"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c>
          <w:tcPr>
            <w:tcW w:w="3540" w:type="dxa"/>
            <w:gridSpan w:val="4"/>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kern w:val="0"/>
                <w:sz w:val="18"/>
                <w:szCs w:val="18"/>
                <w:lang w:eastAsia="en-US" w:bidi="ar-SA"/>
              </w:rPr>
              <w:t xml:space="preserve">(iv) </w:t>
            </w:r>
          </w:p>
        </w:tc>
        <w:tc>
          <w:tcPr>
            <w:tcW w:w="1830" w:type="dxa"/>
            <w:gridSpan w:val="2"/>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kern w:val="0"/>
                <w:sz w:val="18"/>
                <w:szCs w:val="18"/>
                <w:lang w:eastAsia="en-US" w:bidi="ar-SA"/>
              </w:rPr>
              <w:t xml:space="preserve">Any other </w:t>
            </w:r>
          </w:p>
        </w:tc>
        <w:tc>
          <w:tcPr>
            <w:tcW w:w="1186"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3"/>
              <w:jc w:val="start"/>
              <w:rPr>
                <w:sz w:val="18"/>
                <w:szCs w:val="18"/>
              </w:rPr>
            </w:pPr>
            <w:r>
              <w:rPr>
                <w:rFonts w:eastAsia="Arial" w:cs="Arial"/>
                <w:kern w:val="0"/>
                <w:sz w:val="18"/>
                <w:szCs w:val="18"/>
                <w:lang w:eastAsia="en-US" w:bidi="ar-SA"/>
              </w:rPr>
              <w:t>NA</w:t>
            </w:r>
          </w:p>
        </w:tc>
        <w:tc>
          <w:tcPr>
            <w:tcW w:w="1680" w:type="dxa"/>
            <w:gridSpan w:val="5"/>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6"/>
              <w:jc w:val="start"/>
              <w:rPr>
                <w:sz w:val="18"/>
                <w:szCs w:val="18"/>
              </w:rPr>
            </w:pPr>
            <w:r>
              <w:rPr>
                <w:rFonts w:eastAsia="Arial" w:cs="Arial"/>
                <w:kern w:val="0"/>
                <w:sz w:val="18"/>
                <w:szCs w:val="18"/>
                <w:lang w:eastAsia="en-US" w:bidi="ar-SA"/>
              </w:rPr>
              <w:t>NA</w:t>
            </w:r>
          </w:p>
        </w:tc>
        <w:tc>
          <w:tcPr>
            <w:tcW w:w="1410" w:type="dxa"/>
            <w:gridSpan w:val="2"/>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c>
          <w:tcPr>
            <w:tcW w:w="3540" w:type="dxa"/>
            <w:gridSpan w:val="4"/>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ind w:end="44"/>
              <w:jc w:val="start"/>
              <w:rPr>
                <w:sz w:val="18"/>
                <w:szCs w:val="18"/>
              </w:rPr>
            </w:pPr>
            <w:r>
              <w:rPr>
                <w:rFonts w:eastAsia="Arial" w:cs="Arial"/>
                <w:kern w:val="0"/>
                <w:sz w:val="18"/>
                <w:szCs w:val="18"/>
                <w:lang w:eastAsia="en-US" w:bidi="ar-SA"/>
              </w:rPr>
              <w:t>NA</w:t>
            </w:r>
          </w:p>
        </w:tc>
      </w:tr>
      <w:tr>
        <w:trPr>
          <w:trHeight w:val="264"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9 </w:t>
            </w:r>
          </w:p>
        </w:tc>
        <w:tc>
          <w:tcPr>
            <w:tcW w:w="3016" w:type="dxa"/>
            <w:gridSpan w:val="4"/>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Annual Percentage Rate (APR) (%)</w:t>
            </w:r>
          </w:p>
        </w:tc>
        <w:tc>
          <w:tcPr>
            <w:tcW w:w="6630" w:type="dxa"/>
            <w:gridSpan w:val="11"/>
            <w:tcBorders>
              <w:top w:val="single" w:sz="4" w:space="0" w:color="000000"/>
              <w:start w:val="single" w:sz="4" w:space="0" w:color="000000"/>
              <w:bottom w:val="single" w:sz="4" w:space="0" w:color="000000"/>
              <w:end w:val="single" w:sz="4"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{{kfsData.interestDetails.annualPercentageRate}}%</w:t>
            </w:r>
          </w:p>
          <w:p>
            <w:pPr>
              <w:pStyle w:val="normal0"/>
              <w:widowControl/>
              <w:spacing w:lineRule="auto" w:line="259" w:before="0" w:after="0"/>
              <w:ind w:start="20"/>
              <w:jc w:val="start"/>
              <w:rPr>
                <w:i/>
                <w:i/>
                <w:sz w:val="18"/>
                <w:szCs w:val="18"/>
              </w:rPr>
            </w:pPr>
            <w:r>
              <w:rPr>
                <w:rFonts w:eastAsia="Arial" w:cs="Arial"/>
                <w:kern w:val="0"/>
                <w:sz w:val="18"/>
                <w:szCs w:val="18"/>
                <w:lang w:eastAsia="en-US" w:bidi="ar-SA"/>
              </w:rPr>
              <w:br/>
            </w:r>
            <w:r>
              <w:rPr>
                <w:rFonts w:eastAsia="Arial" w:cs="Arial"/>
                <w:i/>
                <w:kern w:val="0"/>
                <w:sz w:val="18"/>
                <w:szCs w:val="18"/>
                <w:lang w:eastAsia="en-US" w:bidi="ar-SA"/>
              </w:rPr>
              <w:t>For detailed reference for computation of APR, refer to section "Computation of APR".</w:t>
            </w:r>
          </w:p>
        </w:tc>
      </w:tr>
      <w:tr>
        <w:trPr>
          <w:trHeight w:val="389"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sz w:val="18"/>
                <w:szCs w:val="18"/>
              </w:rPr>
            </w:pPr>
            <w:r>
              <w:rPr>
                <w:rFonts w:eastAsia="Arial" w:cs="Arial"/>
                <w:b/>
                <w:kern w:val="0"/>
                <w:sz w:val="18"/>
                <w:szCs w:val="18"/>
                <w:lang w:eastAsia="en-US" w:bidi="ar-SA"/>
              </w:rPr>
              <w:t xml:space="preserve">10 </w:t>
            </w:r>
          </w:p>
        </w:tc>
        <w:tc>
          <w:tcPr>
            <w:tcW w:w="9646" w:type="dxa"/>
            <w:gridSpan w:val="15"/>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17"/>
              <w:jc w:val="start"/>
              <w:rPr>
                <w:sz w:val="18"/>
                <w:szCs w:val="18"/>
              </w:rPr>
            </w:pPr>
            <w:r>
              <w:rPr>
                <w:rFonts w:eastAsia="Arial" w:cs="Arial"/>
                <w:b/>
                <w:kern w:val="0"/>
                <w:sz w:val="18"/>
                <w:szCs w:val="18"/>
                <w:lang w:eastAsia="en-US" w:bidi="ar-SA"/>
              </w:rPr>
              <w:t xml:space="preserve">Details of Contingent Charges </w:t>
            </w:r>
          </w:p>
        </w:tc>
      </w:tr>
      <w:tr>
        <w:trPr>
          <w:trHeight w:val="32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 xml:space="preserve">(i) </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Dishonour and non-registration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{{kfsData.applicableFees.defaultingFee.baseFee.value}} + 18% GST</w:t>
            </w:r>
          </w:p>
          <w:p>
            <w:pPr>
              <w:pStyle w:val="normal0"/>
              <w:widowControl/>
              <w:spacing w:lineRule="auto" w:line="259" w:before="0" w:after="0"/>
              <w:jc w:val="start"/>
              <w:rPr>
                <w:sz w:val="18"/>
                <w:szCs w:val="18"/>
              </w:rPr>
            </w:pPr>
            <w:r>
              <w:rPr>
                <w:rFonts w:eastAsia="Arial" w:cs="Arial"/>
                <w:kern w:val="0"/>
                <w:sz w:val="18"/>
                <w:szCs w:val="18"/>
                <w:lang w:eastAsia="en-US" w:bidi="ar-SA"/>
              </w:rPr>
            </w:r>
          </w:p>
          <w:p>
            <w:pPr>
              <w:pStyle w:val="normal0"/>
              <w:widowControl/>
              <w:spacing w:lineRule="auto" w:line="259" w:before="0" w:after="0"/>
              <w:jc w:val="start"/>
              <w:rPr>
                <w:i/>
                <w:i/>
                <w:sz w:val="18"/>
                <w:szCs w:val="18"/>
              </w:rPr>
            </w:pPr>
            <w:r>
              <w:rPr>
                <w:rFonts w:eastAsia="Arial" w:cs="Arial"/>
                <w:i/>
                <w:kern w:val="0"/>
                <w:sz w:val="18"/>
                <w:szCs w:val="18"/>
                <w:lang w:eastAsia="en-US" w:bidi="ar-SA"/>
              </w:rPr>
              <w:br/>
              <w:t>Charged in the event of dishonour of any Payment Instruction issued by the Obligor(s) or any non-registration of any Payment Instruction issued by the Obligor(s) due to any action or omission of the Obligor(s), the Obligor(s) shall be liable to a flat charge separately for each dishonour or non-registration of Payment Instruction so issued by the Obligor(s) as set out in the Facility Documents.</w:t>
            </w:r>
          </w:p>
        </w:tc>
      </w:tr>
      <w:tr>
        <w:trPr>
          <w:trHeight w:val="508" w:hRule="atLeast"/>
        </w:trPr>
        <w:tc>
          <w:tcPr>
            <w:tcW w:w="839" w:type="dxa"/>
            <w:vMerge w:val="restart"/>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 xml:space="preserve">(ii) </w:t>
            </w:r>
          </w:p>
        </w:tc>
        <w:tc>
          <w:tcPr>
            <w:tcW w:w="3720" w:type="dxa"/>
            <w:gridSpan w:val="6"/>
            <w:vMerge w:val="restart"/>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Penal charges</w:t>
            </w:r>
          </w:p>
        </w:tc>
        <w:tc>
          <w:tcPr>
            <w:tcW w:w="5926" w:type="dxa"/>
            <w:gridSpan w:val="9"/>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Delay in interest or principal repayment incurs a daily penalty, as per the following grid</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b/>
                <w:sz w:val="18"/>
                <w:szCs w:val="18"/>
              </w:rPr>
            </w:pPr>
            <w:r>
              <w:rPr>
                <w:rFonts w:eastAsia="Arial" w:cs="Arial"/>
                <w:b/>
                <w:kern w:val="0"/>
                <w:sz w:val="18"/>
                <w:szCs w:val="18"/>
                <w:lang w:eastAsia="en-US" w:bidi="ar-SA"/>
              </w:rPr>
              <w:t xml:space="preserve">Amount of Outstanding Due under the Facility that continues to remain unpaid at the end of each day </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b/>
                <w:sz w:val="18"/>
                <w:szCs w:val="18"/>
              </w:rPr>
            </w:pPr>
            <w:r>
              <w:rPr>
                <w:rFonts w:eastAsia="Arial" w:cs="Arial"/>
                <w:b/>
                <w:kern w:val="0"/>
                <w:sz w:val="18"/>
                <w:szCs w:val="18"/>
                <w:lang w:eastAsia="en-US" w:bidi="ar-SA"/>
              </w:rPr>
              <w:t>Penal charges (to be calculated on a daily basis)(excl. GST)</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b/>
                <w:sz w:val="18"/>
                <w:szCs w:val="18"/>
              </w:rPr>
            </w:pPr>
            <w:r>
              <w:rPr>
                <w:rFonts w:eastAsia="Arial" w:cs="Arial"/>
                <w:b/>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Up to 25k</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10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25k - 50k</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25</w:t>
            </w:r>
          </w:p>
        </w:tc>
      </w:tr>
      <w:tr>
        <w:trPr>
          <w:trHeight w:val="389"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50k - 1L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50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1L - 2.5L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100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2.5L - 5L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250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5L - 10L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500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10L - 25L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1000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25L - 50L</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2500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50L - 1Cr</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5000</w:t>
            </w:r>
          </w:p>
        </w:tc>
      </w:tr>
      <w:tr>
        <w:trPr>
          <w:trHeight w:val="390" w:hRule="atLeast"/>
        </w:trPr>
        <w:tc>
          <w:tcPr>
            <w:tcW w:w="839" w:type="dxa"/>
            <w:vMerge w:val="continue"/>
            <w:tcBorders>
              <w:top w:val="single" w:sz="4" w:space="0" w:color="000000"/>
              <w:start w:val="single" w:sz="4" w:space="0" w:color="000000"/>
              <w:bottom w:val="single" w:sz="4" w:space="0" w:color="000000"/>
              <w:end w:val="single" w:sz="6"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3720" w:type="dxa"/>
            <w:gridSpan w:val="6"/>
            <w:vMerge w:val="continue"/>
            <w:tcBorders>
              <w:top w:val="single" w:sz="4" w:space="0" w:color="000000"/>
              <w:start w:val="single" w:sz="6"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2386" w:type="dxa"/>
            <w:gridSpan w:val="5"/>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1Cr +</w:t>
            </w:r>
          </w:p>
        </w:tc>
        <w:tc>
          <w:tcPr>
            <w:tcW w:w="3540" w:type="dxa"/>
            <w:gridSpan w:val="4"/>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10000</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(iii)</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Foreclosure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59" w:before="0" w:after="0"/>
              <w:jc w:val="start"/>
              <w:rPr>
                <w:sz w:val="18"/>
                <w:szCs w:val="18"/>
              </w:rPr>
            </w:pPr>
            <w:r>
              <w:rPr>
                <w:rFonts w:eastAsia="Arial" w:cs="Arial"/>
                <w:kern w:val="0"/>
                <w:sz w:val="18"/>
                <w:szCs w:val="18"/>
                <w:lang w:eastAsia="en-US" w:bidi="ar-SA"/>
              </w:rPr>
              <w:t>NIL</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(iv)</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Legal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358" w:before="0" w:after="40"/>
              <w:jc w:val="start"/>
              <w:rPr>
                <w:sz w:val="18"/>
                <w:szCs w:val="18"/>
              </w:rPr>
            </w:pPr>
            <w:r>
              <w:rPr>
                <w:rFonts w:eastAsia="Arial" w:cs="Arial"/>
                <w:kern w:val="0"/>
                <w:sz w:val="18"/>
                <w:szCs w:val="18"/>
                <w:lang w:eastAsia="en-US" w:bidi="ar-SA"/>
              </w:rPr>
              <w:t>As applicable</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(v)</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Security sell-off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358" w:before="0" w:after="40"/>
              <w:jc w:val="start"/>
              <w:rPr>
                <w:sz w:val="18"/>
                <w:szCs w:val="18"/>
              </w:rPr>
            </w:pPr>
            <w:r>
              <w:rPr>
                <w:rFonts w:eastAsia="Arial" w:cs="Arial"/>
                <w:kern w:val="0"/>
                <w:sz w:val="18"/>
                <w:szCs w:val="18"/>
                <w:lang w:eastAsia="en-US" w:bidi="ar-SA"/>
              </w:rPr>
              <w:t>{{kfsData.applicableFees.recoverySecurityInvocationFee.baseFee.value}}% of the proceeds received + 18%  GST</w:t>
            </w:r>
          </w:p>
          <w:p>
            <w:pPr>
              <w:pStyle w:val="normal0"/>
              <w:widowControl/>
              <w:numPr>
                <w:ilvl w:val="0"/>
                <w:numId w:val="3"/>
              </w:numPr>
              <w:pBdr/>
              <w:spacing w:lineRule="auto" w:line="358" w:before="0" w:after="0"/>
              <w:jc w:val="start"/>
              <w:rPr>
                <w:color w:val="000000"/>
                <w:sz w:val="18"/>
                <w:szCs w:val="18"/>
              </w:rPr>
            </w:pPr>
            <w:r>
              <w:rPr>
                <w:rFonts w:eastAsia="Arial" w:cs="Arial"/>
                <w:color w:val="000000"/>
                <w:kern w:val="0"/>
                <w:sz w:val="18"/>
                <w:szCs w:val="18"/>
                <w:lang w:eastAsia="en-US" w:bidi="ar-SA"/>
              </w:rPr>
              <w:t>Maximum {{kfsData.applicableFees.recoverySecurityInvocationFee.maxFee.value}} (excl. GST) will be charged in case securities are sold to recover dues.</w:t>
            </w:r>
          </w:p>
          <w:p>
            <w:pPr>
              <w:pStyle w:val="normal0"/>
              <w:widowControl/>
              <w:numPr>
                <w:ilvl w:val="0"/>
                <w:numId w:val="3"/>
              </w:numPr>
              <w:pBdr/>
              <w:spacing w:lineRule="auto" w:line="358" w:before="0" w:after="0"/>
              <w:jc w:val="start"/>
              <w:rPr>
                <w:color w:val="000000"/>
                <w:sz w:val="18"/>
                <w:szCs w:val="18"/>
              </w:rPr>
            </w:pPr>
            <w:r>
              <w:rPr>
                <w:rFonts w:eastAsia="Arial" w:cs="Arial"/>
                <w:color w:val="000000"/>
                <w:kern w:val="0"/>
                <w:sz w:val="18"/>
                <w:szCs w:val="18"/>
                <w:lang w:eastAsia="en-US" w:bidi="ar-SA"/>
              </w:rPr>
              <w:t>Maximum {{kfsData.applicableFees.serviceSecurityInvocationFee.maxFee.value}} (excl. GST) will be charged in case security sell-off is  requested by the customer.</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(vi)</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Bank mandate swap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358" w:before="0" w:after="4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{{kfsData.applicableFees.mandateSwapCharges.baseFee.value}} + 18% GST</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(vii)</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Renewal charges</w:t>
            </w:r>
          </w:p>
        </w:tc>
        <w:tc>
          <w:tcPr>
            <w:tcW w:w="5926" w:type="dxa"/>
            <w:gridSpan w:val="9"/>
            <w:tcBorders>
              <w:top w:val="single" w:sz="4" w:space="0" w:color="000000"/>
              <w:start w:val="single" w:sz="4" w:space="0" w:color="000000"/>
              <w:bottom w:val="single" w:sz="4" w:space="0" w:color="000000"/>
              <w:end w:val="single" w:sz="4" w:space="0" w:color="000000"/>
            </w:tcBorders>
            <w:vAlign w:val="center"/>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{{kfsData.applicableFees.renewalFee.baseFee.value}} + 18% GST</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 xml:space="preserve">(viii) </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76" w:before="0" w:after="0"/>
              <w:ind w:start="10" w:end="348"/>
              <w:jc w:val="start"/>
              <w:rPr>
                <w:b/>
                <w:sz w:val="18"/>
                <w:szCs w:val="18"/>
              </w:rPr>
            </w:pPr>
            <w:r>
              <w:rPr>
                <w:rFonts w:eastAsia="Arial" w:cs="Arial"/>
                <w:b/>
                <w:kern w:val="0"/>
                <w:sz w:val="18"/>
                <w:szCs w:val="18"/>
                <w:lang w:eastAsia="en-US" w:bidi="ar-SA"/>
              </w:rPr>
              <w:t>Additional security pledging charges</w:t>
            </w:r>
          </w:p>
          <w:p>
            <w:pPr>
              <w:pStyle w:val="normal0"/>
              <w:widowControl/>
              <w:spacing w:lineRule="auto" w:line="259" w:before="0" w:after="0"/>
              <w:ind w:start="24"/>
              <w:jc w:val="start"/>
              <w:rPr>
                <w:b/>
                <w:sz w:val="18"/>
                <w:szCs w:val="18"/>
              </w:rPr>
            </w:pPr>
            <w:r>
              <w:rPr>
                <w:rFonts w:eastAsia="Arial" w:cs="Arial"/>
                <w:b/>
                <w:kern w:val="0"/>
                <w:sz w:val="18"/>
                <w:szCs w:val="18"/>
                <w:lang w:eastAsia="en-US" w:bidi="ar-SA"/>
              </w:rPr>
            </w:r>
          </w:p>
        </w:tc>
        <w:tc>
          <w:tcPr>
            <w:tcW w:w="5926" w:type="dxa"/>
            <w:gridSpan w:val="9"/>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{{kfsData.applicableFees.additionalSecurityPledgingFee.baseFee.value}} + 18% GST</w:t>
            </w:r>
          </w:p>
        </w:tc>
      </w:tr>
      <w:tr>
        <w:trPr>
          <w:trHeight w:val="390" w:hRule="atLeast"/>
        </w:trPr>
        <w:tc>
          <w:tcPr>
            <w:tcW w:w="839" w:type="dxa"/>
            <w:tcBorders>
              <w:top w:val="single" w:sz="4" w:space="0" w:color="000000"/>
              <w:start w:val="single" w:sz="4" w:space="0" w:color="000000"/>
              <w:bottom w:val="single" w:sz="4" w:space="0" w:color="000000"/>
              <w:end w:val="single" w:sz="6" w:space="0" w:color="000000"/>
            </w:tcBorders>
          </w:tcPr>
          <w:p>
            <w:pPr>
              <w:pStyle w:val="normal0"/>
              <w:widowControl/>
              <w:spacing w:lineRule="auto" w:line="259" w:before="0" w:after="0"/>
              <w:ind w:start="19"/>
              <w:jc w:val="start"/>
              <w:rPr>
                <w:b/>
                <w:sz w:val="18"/>
                <w:szCs w:val="18"/>
              </w:rPr>
            </w:pPr>
            <w:r>
              <w:rPr>
                <w:rFonts w:eastAsia="Arial" w:cs="Arial"/>
                <w:b/>
                <w:kern w:val="0"/>
                <w:sz w:val="18"/>
                <w:szCs w:val="18"/>
                <w:lang w:eastAsia="en-US" w:bidi="ar-SA"/>
              </w:rPr>
              <w:t>(vii)</w:t>
            </w:r>
          </w:p>
        </w:tc>
        <w:tc>
          <w:tcPr>
            <w:tcW w:w="3720" w:type="dxa"/>
            <w:gridSpan w:val="6"/>
            <w:tcBorders>
              <w:top w:val="single" w:sz="4" w:space="0" w:color="000000"/>
              <w:start w:val="single" w:sz="6" w:space="0" w:color="000000"/>
              <w:bottom w:val="single" w:sz="4" w:space="0" w:color="000000"/>
              <w:end w:val="single" w:sz="4" w:space="0" w:color="000000"/>
            </w:tcBorders>
          </w:tcPr>
          <w:p>
            <w:pPr>
              <w:pStyle w:val="normal0"/>
              <w:widowControl/>
              <w:spacing w:lineRule="auto" w:line="259" w:before="0" w:after="0"/>
              <w:ind w:start="24"/>
              <w:jc w:val="start"/>
              <w:rPr>
                <w:b/>
                <w:sz w:val="18"/>
                <w:szCs w:val="18"/>
              </w:rPr>
            </w:pPr>
            <w:r>
              <w:rPr>
                <w:rFonts w:eastAsia="Arial" w:cs="Arial"/>
                <w:b/>
                <w:kern w:val="0"/>
                <w:sz w:val="18"/>
                <w:szCs w:val="18"/>
                <w:lang w:eastAsia="en-US" w:bidi="ar-SA"/>
              </w:rPr>
              <w:t>Security unpledging charges</w:t>
            </w:r>
          </w:p>
        </w:tc>
        <w:tc>
          <w:tcPr>
            <w:tcW w:w="5926" w:type="dxa"/>
            <w:gridSpan w:val="9"/>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20"/>
              <w:jc w:val="start"/>
              <w:rPr>
                <w:sz w:val="18"/>
                <w:szCs w:val="18"/>
              </w:rPr>
            </w:pPr>
            <w:r>
              <w:rPr>
                <w:rFonts w:eastAsia="Arial" w:cs="Arial"/>
                <w:kern w:val="0"/>
                <w:sz w:val="18"/>
                <w:szCs w:val="18"/>
                <w:lang w:eastAsia="en-US" w:bidi="ar-SA"/>
              </w:rPr>
              <w:t>NIL</w:t>
            </w:r>
          </w:p>
        </w:tc>
      </w:tr>
    </w:tbl>
    <w:p>
      <w:pPr>
        <w:pStyle w:val="Heading2"/>
        <w:spacing w:lineRule="auto" w:line="264" w:before="360" w:after="13"/>
        <w:ind w:start="10" w:end="73"/>
        <w:rPr>
          <w:b/>
          <w:sz w:val="18"/>
          <w:szCs w:val="18"/>
        </w:rPr>
      </w:pPr>
      <w:r>
        <w:rPr>
          <w:b/>
          <w:sz w:val="18"/>
          <w:szCs w:val="18"/>
        </w:rPr>
      </w:r>
    </w:p>
    <w:p>
      <w:pPr>
        <w:pStyle w:val="Heading2"/>
        <w:spacing w:lineRule="auto" w:line="264" w:before="360" w:after="13"/>
        <w:ind w:start="10" w:end="73"/>
        <w:rPr>
          <w:b/>
          <w:sz w:val="18"/>
          <w:szCs w:val="18"/>
        </w:rPr>
      </w:pPr>
      <w:r>
        <w:rPr>
          <w:b/>
          <w:sz w:val="18"/>
          <w:szCs w:val="18"/>
        </w:rPr>
        <w:t>Part 2 (Other qualitative information)</w:t>
      </w:r>
      <w:r>
        <w:rPr>
          <w:sz w:val="18"/>
          <w:szCs w:val="18"/>
        </w:rPr>
        <w:t xml:space="preserve"> </w:t>
      </w:r>
    </w:p>
    <w:tbl>
      <w:tblPr>
        <w:tblStyle w:val="style4117"/>
        <w:tblW w:w="10350" w:type="dxa"/>
        <w:jc w:val="center"/>
        <w:tblInd w:w="0" w:type="dxa"/>
        <w:tblLayout w:type="fixed"/>
        <w:tblCellMar>
          <w:top w:w="0" w:type="dxa"/>
          <w:start w:w="115" w:type="dxa"/>
          <w:bottom w:w="0" w:type="dxa"/>
          <w:end w:w="115" w:type="dxa"/>
        </w:tblCellMar>
        <w:tblLook w:val="0400" w:noVBand="1" w:noHBand="0" w:lastColumn="0" w:firstColumn="0" w:lastRow="0" w:firstRow="0"/>
      </w:tblPr>
      <w:tblGrid>
        <w:gridCol w:w="704"/>
        <w:gridCol w:w="4456"/>
        <w:gridCol w:w="5190"/>
      </w:tblGrid>
      <w:tr>
        <w:trPr>
          <w:trHeight w:val="592" w:hRule="atLeast"/>
        </w:trPr>
        <w:tc>
          <w:tcPr>
            <w:tcW w:w="704"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1 </w:t>
            </w:r>
          </w:p>
        </w:tc>
        <w:tc>
          <w:tcPr>
            <w:tcW w:w="4456"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Clause of Loan agreement relating to engagement of recovery agents </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Clause 31 from the general terms &amp; conditions of loan agreement</w:t>
            </w:r>
          </w:p>
        </w:tc>
      </w:tr>
      <w:tr>
        <w:trPr>
          <w:trHeight w:val="593" w:hRule="atLeast"/>
        </w:trPr>
        <w:tc>
          <w:tcPr>
            <w:tcW w:w="704"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2 </w:t>
            </w:r>
          </w:p>
        </w:tc>
        <w:tc>
          <w:tcPr>
            <w:tcW w:w="4456"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Clause of Loan agreement which details grievance redressal mechanism </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Clause 30 from the general terms &amp; conditions of loan agreement</w:t>
            </w:r>
          </w:p>
        </w:tc>
      </w:tr>
      <w:tr>
        <w:trPr>
          <w:trHeight w:val="592" w:hRule="atLeast"/>
        </w:trPr>
        <w:tc>
          <w:tcPr>
            <w:tcW w:w="704" w:type="dxa"/>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3 </w:t>
            </w:r>
          </w:p>
        </w:tc>
        <w:tc>
          <w:tcPr>
            <w:tcW w:w="4456" w:type="dxa"/>
            <w:vMerge w:val="restart"/>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Contact details of grievance officer</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Grievance officer of DSP Finance Pvt. Ltd.</w:t>
              <w:br/>
              <w:t>Name: {{kfsData.grievanceOfficer.lender.name}}</w:t>
              <w:br/>
              <w:t>Designation: {{kfsData.grievanceOfficer.lender.designation}}</w:t>
              <w:br/>
              <w:t>Address: {{kfsData.grievanceOfficer.lender.address}}</w:t>
              <w:br/>
              <w:t>Phone number: {{kfsData.grievanceOfficer.lender.phoneNumber}}</w:t>
              <w:br/>
              <w:t>Email ID: {{kfsData.grievanceOfficer.lender.emailID}}</w:t>
            </w:r>
          </w:p>
        </w:tc>
      </w:tr>
      <w:tr>
        <w:trPr>
          <w:trHeight w:val="592" w:hRule="atLeast"/>
        </w:trPr>
        <w:tc>
          <w:tcPr>
            <w:tcW w:w="704"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4456" w:type="dxa"/>
            <w:vMerge w:val="continue"/>
            <w:tcBorders>
              <w:top w:val="single" w:sz="4" w:space="0" w:color="000000"/>
              <w:start w:val="single" w:sz="4" w:space="0" w:color="000000"/>
              <w:bottom w:val="single" w:sz="4" w:space="0" w:color="000000"/>
              <w:end w:val="single" w:sz="4" w:space="0" w:color="000000"/>
            </w:tcBorders>
          </w:tcPr>
          <w:p>
            <w:pPr>
              <w:pStyle w:val="normal0"/>
              <w:widowControl w:val="false"/>
              <w:pBdr/>
              <w:spacing w:lineRule="auto" w:line="276" w:before="0" w:after="0"/>
              <w:jc w:val="start"/>
              <w:rPr>
                <w:sz w:val="18"/>
                <w:szCs w:val="18"/>
              </w:rPr>
            </w:pPr>
            <w:r>
              <w:rPr>
                <w:rFonts w:eastAsia="Arial" w:cs="Arial"/>
                <w:kern w:val="0"/>
                <w:sz w:val="18"/>
                <w:szCs w:val="18"/>
                <w:lang w:eastAsia="en-US" w:bidi="ar-SA"/>
              </w:rPr>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Grievance officer of LSP</w:t>
              <w:br/>
              <w:t>Name: {{kfsData.grievanceOfficer.lsp.name}}</w:t>
              <w:br/>
              <w:t>Designation: {{kfsData.grievanceOfficer.lsp.designation}}</w:t>
              <w:br/>
              <w:t>Address: {{kfsData.grievanceOfficer.lsp.address}}</w:t>
              <w:br/>
              <w:t>Phone number: {{kfsData.grievanceOfficer.lsp.phoneNumber}}</w:t>
              <w:br/>
              <w:t>Email ID: {{kfsData.grievanceOfficer.lsp.emailID}}</w:t>
            </w:r>
          </w:p>
        </w:tc>
      </w:tr>
      <w:tr>
        <w:trPr>
          <w:trHeight w:val="592" w:hRule="atLeast"/>
        </w:trPr>
        <w:tc>
          <w:tcPr>
            <w:tcW w:w="704"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4 </w:t>
            </w:r>
          </w:p>
        </w:tc>
        <w:tc>
          <w:tcPr>
            <w:tcW w:w="4456"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Whether the loan is, or in future maybe, subject to transfer to other REs or securitisation (Yes/ No) </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 </w:t>
            </w:r>
            <w:r>
              <w:rPr>
                <w:rFonts w:eastAsia="Arial" w:cs="Arial"/>
                <w:kern w:val="0"/>
                <w:sz w:val="18"/>
                <w:szCs w:val="18"/>
                <w:lang w:eastAsia="en-US" w:bidi="ar-SA"/>
              </w:rPr>
              <w:t>Yes</w:t>
            </w:r>
          </w:p>
        </w:tc>
      </w:tr>
      <w:tr>
        <w:trPr>
          <w:trHeight w:val="301" w:hRule="atLeast"/>
        </w:trPr>
        <w:tc>
          <w:tcPr>
            <w:tcW w:w="704"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6 </w:t>
            </w:r>
          </w:p>
        </w:tc>
        <w:tc>
          <w:tcPr>
            <w:tcW w:w="9646"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 xml:space="preserve">In case of digital loans, following specific disclosures may be furnished: </w:t>
            </w:r>
          </w:p>
        </w:tc>
      </w:tr>
      <w:tr>
        <w:trPr>
          <w:trHeight w:val="1174" w:hRule="atLeast"/>
        </w:trPr>
        <w:tc>
          <w:tcPr>
            <w:tcW w:w="5160"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360"/>
              <w:jc w:val="start"/>
              <w:rPr>
                <w:sz w:val="18"/>
                <w:szCs w:val="18"/>
              </w:rPr>
            </w:pPr>
            <w:r>
              <w:rPr>
                <w:rFonts w:eastAsia="Arial" w:cs="Arial"/>
                <w:kern w:val="0"/>
                <w:sz w:val="18"/>
                <w:szCs w:val="18"/>
                <w:lang w:eastAsia="en-US" w:bidi="ar-SA"/>
              </w:rPr>
              <w:t xml:space="preserve">(i) Cooling off/look-up period, in terms of RE’s board approved policy, during which borrower shall not be charged any penalty on prepayment of loan </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3 (Three) days from the date of the of the first disbursement under the Facility</w:t>
            </w:r>
          </w:p>
        </w:tc>
      </w:tr>
      <w:tr>
        <w:trPr>
          <w:trHeight w:val="592" w:hRule="atLeast"/>
        </w:trPr>
        <w:tc>
          <w:tcPr>
            <w:tcW w:w="5160" w:type="dxa"/>
            <w:gridSpan w:val="2"/>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ind w:start="313"/>
              <w:jc w:val="start"/>
              <w:rPr>
                <w:sz w:val="18"/>
                <w:szCs w:val="18"/>
              </w:rPr>
            </w:pPr>
            <w:r>
              <w:rPr>
                <w:rFonts w:eastAsia="Arial" w:cs="Arial"/>
                <w:kern w:val="0"/>
                <w:sz w:val="18"/>
                <w:szCs w:val="18"/>
                <w:lang w:eastAsia="en-US" w:bidi="ar-SA"/>
              </w:rPr>
              <w:t xml:space="preserve">(ii) Details of LSP acting as recovery agent and authorized to approach the borrower </w:t>
            </w:r>
          </w:p>
        </w:tc>
        <w:tc>
          <w:tcPr>
            <w:tcW w:w="5190" w:type="dxa"/>
            <w:tcBorders>
              <w:top w:val="single" w:sz="4" w:space="0" w:color="000000"/>
              <w:start w:val="single" w:sz="4" w:space="0" w:color="000000"/>
              <w:bottom w:val="single" w:sz="4" w:space="0" w:color="000000"/>
              <w:end w:val="single" w:sz="4" w:space="0" w:color="000000"/>
            </w:tcBorders>
          </w:tcPr>
          <w:p>
            <w:pPr>
              <w:pStyle w:val="normal0"/>
              <w:widowControl/>
              <w:spacing w:lineRule="auto" w:line="259" w:before="0" w:after="0"/>
              <w:jc w:val="start"/>
              <w:rPr>
                <w:sz w:val="18"/>
                <w:szCs w:val="18"/>
              </w:rPr>
            </w:pPr>
            <w:r>
              <w:rPr>
                <w:rFonts w:eastAsia="Arial" w:cs="Arial"/>
                <w:kern w:val="0"/>
                <w:sz w:val="18"/>
                <w:szCs w:val="18"/>
                <w:lang w:eastAsia="en-US" w:bidi="ar-SA"/>
              </w:rPr>
              <w:t>Name: {{kfsData.recoveryAgentDetails.name}}</w:t>
            </w:r>
          </w:p>
          <w:p>
            <w:pPr>
              <w:pStyle w:val="normal0"/>
              <w:widowControl/>
              <w:spacing w:lineRule="auto" w:line="276" w:before="0" w:after="0"/>
              <w:jc w:val="start"/>
              <w:rPr>
                <w:sz w:val="18"/>
                <w:szCs w:val="18"/>
              </w:rPr>
            </w:pPr>
            <w:r>
              <w:rPr>
                <w:rFonts w:eastAsia="Arial" w:cs="Arial"/>
                <w:kern w:val="0"/>
                <w:sz w:val="18"/>
                <w:szCs w:val="18"/>
                <w:lang w:eastAsia="en-US" w:bidi="ar-SA"/>
              </w:rPr>
              <w:t>Address: {{kfsData.recoveryAgentDetails.address}}</w:t>
            </w:r>
          </w:p>
        </w:tc>
      </w:tr>
    </w:tbl>
    <w:p>
      <w:pPr>
        <w:pStyle w:val="normal0"/>
        <w:spacing w:lineRule="auto" w:line="358" w:before="0" w:after="3"/>
        <w:ind w:end="348"/>
        <w:rPr>
          <w:b/>
          <w:sz w:val="18"/>
          <w:szCs w:val="18"/>
        </w:rPr>
      </w:pPr>
      <w:r>
        <w:rPr>
          <w:b/>
          <w:sz w:val="18"/>
          <w:szCs w:val="18"/>
        </w:rPr>
      </w:r>
    </w:p>
    <w:p>
      <w:pPr>
        <w:pStyle w:val="normal0"/>
        <w:spacing w:lineRule="auto" w:line="358" w:before="0" w:after="3"/>
        <w:ind w:end="348"/>
        <w:rPr>
          <w:b/>
          <w:sz w:val="18"/>
          <w:szCs w:val="18"/>
        </w:rPr>
      </w:pPr>
      <w:r>
        <w:rPr>
          <w:b/>
          <w:sz w:val="18"/>
          <w:szCs w:val="18"/>
        </w:rPr>
        <w:t xml:space="preserve">Computation of APR </w:t>
      </w:r>
    </w:p>
    <w:p>
      <w:pPr>
        <w:pStyle w:val="normal0"/>
        <w:spacing w:lineRule="auto" w:line="358" w:before="0" w:after="3"/>
        <w:ind w:end="348"/>
        <w:rPr>
          <w:b/>
          <w:sz w:val="18"/>
          <w:szCs w:val="18"/>
        </w:rPr>
      </w:pPr>
      <w:r>
        <w:rPr>
          <w:b/>
          <w:sz w:val="18"/>
          <w:szCs w:val="18"/>
        </w:rPr>
      </w:r>
    </w:p>
    <w:p>
      <w:pPr>
        <w:pStyle w:val="normal0"/>
        <w:spacing w:lineRule="auto" w:line="358" w:before="0" w:after="3"/>
        <w:ind w:end="348"/>
        <w:rPr>
          <w:sz w:val="18"/>
          <w:szCs w:val="18"/>
        </w:rPr>
      </w:pPr>
      <w:r>
        <w:rPr>
          <w:sz w:val="18"/>
          <w:szCs w:val="18"/>
        </w:rPr>
        <w:t>Note:</w:t>
      </w:r>
    </w:p>
    <w:p>
      <w:pPr>
        <w:pStyle w:val="normal0"/>
        <w:spacing w:lineRule="auto" w:line="358" w:before="0" w:after="3"/>
        <w:ind w:end="348"/>
        <w:rPr>
          <w:sz w:val="18"/>
          <w:szCs w:val="18"/>
        </w:rPr>
      </w:pPr>
      <w:r>
        <w:rPr>
          <w:sz w:val="18"/>
          <w:szCs w:val="18"/>
        </w:rPr>
      </w:r>
    </w:p>
    <w:p>
      <w:pPr>
        <w:pStyle w:val="normal0"/>
        <w:spacing w:lineRule="auto" w:line="358" w:before="0" w:after="3"/>
        <w:ind w:end="348"/>
        <w:rPr>
          <w:sz w:val="18"/>
          <w:szCs w:val="18"/>
        </w:rPr>
      </w:pPr>
      <w:r>
        <w:rPr>
          <w:sz w:val="18"/>
          <w:szCs w:val="18"/>
        </w:rPr>
        <w:t>For the purpose of APR calculation, it has been assumed that the credit facility has been disbursed and fully drawn immediately post-sanction.</w:t>
      </w:r>
    </w:p>
    <w:p>
      <w:pPr>
        <w:pStyle w:val="normal0"/>
        <w:spacing w:lineRule="auto" w:line="358" w:before="0" w:after="3"/>
        <w:ind w:end="348"/>
        <w:rPr>
          <w:sz w:val="18"/>
          <w:szCs w:val="18"/>
        </w:rPr>
      </w:pPr>
      <w:r>
        <w:rPr>
          <w:sz w:val="18"/>
          <w:szCs w:val="18"/>
        </w:rPr>
      </w:r>
    </w:p>
    <w:p>
      <w:pPr>
        <w:pStyle w:val="normal0"/>
        <w:spacing w:lineRule="auto" w:line="358" w:before="0" w:after="3"/>
        <w:ind w:end="348"/>
        <w:rPr>
          <w:sz w:val="18"/>
          <w:szCs w:val="18"/>
        </w:rPr>
      </w:pPr>
      <w:r>
        <w:rPr>
          <w:sz w:val="18"/>
          <w:szCs w:val="18"/>
        </w:rPr>
        <w:t>This is a revolving credit facility, withdrawal and repayment can be done anytime.</w:t>
      </w:r>
    </w:p>
    <w:p>
      <w:pPr>
        <w:pStyle w:val="normal0"/>
        <w:spacing w:lineRule="auto" w:line="358" w:before="0" w:after="3"/>
        <w:ind w:end="348"/>
        <w:rPr>
          <w:sz w:val="18"/>
          <w:szCs w:val="18"/>
        </w:rPr>
      </w:pPr>
      <w:r>
        <w:rPr>
          <w:sz w:val="18"/>
          <w:szCs w:val="18"/>
        </w:rPr>
      </w:r>
    </w:p>
    <w:p>
      <w:pPr>
        <w:pStyle w:val="normal0"/>
        <w:spacing w:lineRule="auto" w:line="358" w:before="0" w:after="3"/>
        <w:ind w:end="348"/>
        <w:rPr>
          <w:sz w:val="18"/>
          <w:szCs w:val="18"/>
        </w:rPr>
      </w:pPr>
      <w:r>
        <w:rPr>
          <w:sz w:val="18"/>
          <w:szCs w:val="18"/>
        </w:rPr>
        <w:t>Actual interest will be computed from the date of disbursement based on net utilization.</w:t>
      </w:r>
    </w:p>
    <w:p>
      <w:pPr>
        <w:pStyle w:val="normal0"/>
        <w:spacing w:lineRule="auto" w:line="358" w:before="0" w:after="3"/>
        <w:ind w:hanging="360" w:start="720" w:end="348"/>
        <w:rPr>
          <w:sz w:val="18"/>
          <w:szCs w:val="18"/>
        </w:rPr>
      </w:pPr>
      <w:r>
        <w:rPr>
          <w:sz w:val="18"/>
          <w:szCs w:val="18"/>
        </w:rPr>
      </w:r>
    </w:p>
    <w:tbl>
      <w:tblPr>
        <w:tblStyle w:val="style4118"/>
        <w:tblW w:w="9795" w:type="dxa"/>
        <w:jc w:val="start"/>
        <w:tblInd w:w="0" w:type="dxa"/>
        <w:tblLayout w:type="fixed"/>
        <w:tblCellMar>
          <w:top w:w="40" w:type="dxa"/>
          <w:start w:w="40" w:type="dxa"/>
          <w:bottom w:w="40" w:type="dxa"/>
          <w:end w:w="40" w:type="dxa"/>
        </w:tblCellMar>
        <w:tblLook w:val="0600" w:noVBand="1" w:noHBand="1" w:lastColumn="0" w:firstColumn="0" w:lastRow="0" w:firstRow="0"/>
      </w:tblPr>
      <w:tblGrid>
        <w:gridCol w:w="1096"/>
        <w:gridCol w:w="4139"/>
        <w:gridCol w:w="4560"/>
      </w:tblGrid>
      <w:tr>
        <w:trPr>
          <w:trHeight w:val="52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b/>
                <w:sz w:val="18"/>
                <w:szCs w:val="18"/>
              </w:rPr>
            </w:pPr>
            <w:r>
              <w:rPr>
                <w:rFonts w:eastAsia="Arial" w:cs="Arial"/>
                <w:b/>
                <w:kern w:val="0"/>
                <w:sz w:val="18"/>
                <w:szCs w:val="18"/>
                <w:lang w:eastAsia="en-US" w:bidi="ar-SA"/>
              </w:rPr>
              <w:t>Sr.</w:t>
            </w:r>
          </w:p>
          <w:p>
            <w:pPr>
              <w:pStyle w:val="normal0"/>
              <w:widowControl w:val="false"/>
              <w:spacing w:lineRule="auto" w:line="276" w:before="0" w:after="0"/>
              <w:jc w:val="start"/>
              <w:rPr>
                <w:sz w:val="18"/>
                <w:szCs w:val="18"/>
              </w:rPr>
            </w:pPr>
            <w:r>
              <w:rPr>
                <w:rFonts w:eastAsia="Arial" w:cs="Arial"/>
                <w:b/>
                <w:kern w:val="0"/>
                <w:sz w:val="18"/>
                <w:szCs w:val="18"/>
                <w:lang w:eastAsia="en-US" w:bidi="ar-SA"/>
              </w:rPr>
              <w:t>No.</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b/>
                <w:kern w:val="0"/>
                <w:sz w:val="18"/>
                <w:szCs w:val="18"/>
                <w:lang w:eastAsia="en-US" w:bidi="ar-SA"/>
              </w:rPr>
              <w:t>Parameter</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ind w:end="-45"/>
              <w:jc w:val="start"/>
              <w:rPr>
                <w:sz w:val="18"/>
                <w:szCs w:val="18"/>
              </w:rPr>
            </w:pPr>
            <w:r>
              <w:rPr>
                <w:rFonts w:eastAsia="Arial" w:cs="Arial"/>
                <w:b/>
                <w:kern w:val="0"/>
                <w:sz w:val="18"/>
                <w:szCs w:val="18"/>
                <w:lang w:eastAsia="en-US" w:bidi="ar-SA"/>
              </w:rPr>
              <w:t>Details</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1</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Facility Value Limit (SI no. 2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{{kfsData.terms.creditLimit.inNumber}}</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2</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Loan term (SI no. 4 of the KFS - Part 1)</w:t>
            </w:r>
          </w:p>
        </w:tc>
        <w:tc>
          <w:tcPr>
            <w:tcW w:w="4560"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spacing w:lineRule="auto" w:line="276" w:before="0" w:after="3"/>
              <w:jc w:val="start"/>
              <w:rPr>
                <w:sz w:val="18"/>
                <w:szCs w:val="18"/>
              </w:rPr>
            </w:pPr>
            <w:r>
              <w:rPr>
                <w:rFonts w:eastAsia="Arial" w:cs="Arial"/>
                <w:kern w:val="0"/>
                <w:sz w:val="18"/>
                <w:szCs w:val="18"/>
                <w:lang w:eastAsia="en-US" w:bidi="ar-SA"/>
              </w:rPr>
              <w:t>{{kfsData.terms.months}} months {{kfsData.terms.days}} days</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a)</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Loan maturity date (SI no. 4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{{kfsData.terms.maturityDate}}</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b)</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Number of repayment installments (SI no. 4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{{kfsData.installmentDetails.totalInstallments}}</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3</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Interest rate type (SI no. 6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Floating</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4</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Rate of Interest (SI no. 6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{{kfsData.interestDetails.interestRate}}% p.a.</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5</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Total Interest amount charged during the entire tenor of loan as per the interest rate prevailing on sanction date</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{{kfsData.installmentDetails.totalInterestPaid}}</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6</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Fee/ Charges payable (including GST) (SI no. 8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{{kfsData.applicableFees.processingFees.totalFee}}</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A</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Payable to DSP Finance Pvt. Ltd. (SI no. 8A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{{kfsData.applicableFees.processingFees.totalFee}}</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B</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Payable to third-party through DSP Finance  (SI no. 8B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NA</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7</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Total amount paid by the borrower (Sum of 2 and 8)</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{{kfsData.installmentDetails.totalInstallmentAmount}}</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8</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Net disbursed amount (Difference of 2 and 8)</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{{kfsData.installmentDetails.netDisbursementAmount}}</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9</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Annual Percentage rate- Effective annualized interest rate (SI no. 9 of the KFS - Part 1)</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{{kfsData.interestDetails.annualPercentageRate}}%</w:t>
            </w:r>
          </w:p>
        </w:tc>
      </w:tr>
      <w:tr>
        <w:trPr>
          <w:trHeight w:val="315" w:hRule="atLeast"/>
        </w:trPr>
        <w:tc>
          <w:tcPr>
            <w:tcW w:w="1096"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end"/>
              <w:rPr>
                <w:sz w:val="18"/>
                <w:szCs w:val="18"/>
              </w:rPr>
            </w:pPr>
            <w:r>
              <w:rPr>
                <w:rFonts w:eastAsia="Arial" w:cs="Arial"/>
                <w:kern w:val="0"/>
                <w:sz w:val="18"/>
                <w:szCs w:val="18"/>
                <w:lang w:eastAsia="en-US" w:bidi="ar-SA"/>
              </w:rPr>
              <w:t>10</w:t>
            </w:r>
          </w:p>
        </w:tc>
        <w:tc>
          <w:tcPr>
            <w:tcW w:w="4139" w:type="dxa"/>
            <w:tcBorders>
              <w:top w:val="single" w:sz="8" w:space="0" w:color="000000"/>
              <w:start w:val="single" w:sz="8" w:space="0" w:color="000000"/>
              <w:bottom w:val="single" w:sz="8" w:space="0" w:color="000000"/>
              <w:end w:val="single" w:sz="8"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 xml:space="preserve">Due date of payment and installment </w:t>
            </w:r>
          </w:p>
        </w:tc>
        <w:tc>
          <w:tcPr>
            <w:tcW w:w="4560" w:type="dxa"/>
            <w:tcBorders>
              <w:top w:val="single" w:sz="8" w:space="0" w:color="000000"/>
              <w:start w:val="single" w:sz="8" w:space="0" w:color="000000"/>
              <w:bottom w:val="single" w:sz="8" w:space="0" w:color="000000"/>
              <w:end w:val="single" w:sz="8" w:space="0" w:color="000000"/>
            </w:tcBorders>
          </w:tcPr>
          <w:p>
            <w:pPr>
              <w:pStyle w:val="normal0"/>
              <w:widowControl/>
              <w:spacing w:lineRule="auto" w:line="276" w:before="0" w:after="0"/>
              <w:jc w:val="start"/>
              <w:rPr>
                <w:sz w:val="18"/>
                <w:szCs w:val="18"/>
              </w:rPr>
            </w:pPr>
            <w:r>
              <w:rPr>
                <w:rFonts w:eastAsia="Arial" w:cs="Arial"/>
                <w:kern w:val="0"/>
                <w:sz w:val="18"/>
                <w:szCs w:val="18"/>
                <w:lang w:eastAsia="en-US" w:bidi="ar-SA"/>
              </w:rPr>
              <w:t>{{kfsData.installmentDetails.dueDate}}</w:t>
            </w:r>
          </w:p>
        </w:tc>
      </w:tr>
    </w:tbl>
    <w:p>
      <w:pPr>
        <w:pStyle w:val="normal0"/>
        <w:spacing w:lineRule="auto" w:line="259" w:before="0" w:after="258"/>
        <w:rPr>
          <w:sz w:val="18"/>
          <w:szCs w:val="18"/>
        </w:rPr>
      </w:pPr>
      <w:r>
        <w:rPr>
          <w:sz w:val="18"/>
          <w:szCs w:val="18"/>
        </w:rPr>
      </w:r>
    </w:p>
    <w:p>
      <w:pPr>
        <w:pStyle w:val="normal0"/>
        <w:spacing w:lineRule="auto" w:line="259" w:before="0" w:after="258"/>
        <w:rPr>
          <w:b/>
          <w:sz w:val="18"/>
          <w:szCs w:val="18"/>
        </w:rPr>
      </w:pPr>
      <w:r>
        <w:rPr>
          <w:b/>
          <w:sz w:val="18"/>
          <w:szCs w:val="18"/>
        </w:rPr>
        <w:t xml:space="preserve">Repayment Schedule </w:t>
      </w:r>
    </w:p>
    <w:p>
      <w:pPr>
        <w:pStyle w:val="normal0"/>
        <w:spacing w:lineRule="auto" w:line="259" w:before="0" w:after="258"/>
        <w:rPr>
          <w:sz w:val="18"/>
          <w:szCs w:val="18"/>
        </w:rPr>
      </w:pPr>
      <w:r>
        <w:rPr>
          <w:sz w:val="18"/>
          <w:szCs w:val="18"/>
        </w:rPr>
        <w:t>Note:</w:t>
      </w:r>
    </w:p>
    <w:p>
      <w:pPr>
        <w:pStyle w:val="normal0"/>
        <w:spacing w:lineRule="auto" w:line="259" w:before="0" w:after="258"/>
        <w:rPr>
          <w:sz w:val="18"/>
          <w:szCs w:val="18"/>
        </w:rPr>
      </w:pPr>
      <w:r>
        <w:rPr>
          <w:sz w:val="18"/>
          <w:szCs w:val="18"/>
        </w:rPr>
        <w:t>For the purpose of repayment schedule, it has been assumed that the credit facility has been disbursed and fully drawn immediately post-sanction.</w:t>
      </w:r>
    </w:p>
    <w:p>
      <w:pPr>
        <w:pStyle w:val="normal0"/>
        <w:spacing w:lineRule="auto" w:line="259" w:before="0" w:after="258"/>
        <w:rPr>
          <w:sz w:val="18"/>
          <w:szCs w:val="18"/>
        </w:rPr>
      </w:pPr>
      <w:r>
        <w:rPr>
          <w:sz w:val="18"/>
          <w:szCs w:val="18"/>
        </w:rPr>
        <w:t>This is a revolving credit facility, withdrawal and repayment can be done anytime.</w:t>
      </w:r>
    </w:p>
    <w:p>
      <w:pPr>
        <w:pStyle w:val="normal0"/>
        <w:spacing w:lineRule="auto" w:line="259" w:before="0" w:after="258"/>
        <w:rPr>
          <w:sz w:val="18"/>
          <w:szCs w:val="18"/>
        </w:rPr>
      </w:pPr>
      <w:r>
        <w:rPr>
          <w:sz w:val="18"/>
          <w:szCs w:val="18"/>
        </w:rPr>
        <w:t>Actual interest will be computed from the date of disbursement based on net utilization.</w:t>
      </w:r>
    </w:p>
    <w:p>
      <w:pPr>
        <w:pStyle w:val="normal0"/>
        <w:spacing w:lineRule="auto" w:line="259" w:before="0" w:after="258"/>
        <w:ind w:hanging="360" w:start="720"/>
        <w:rPr>
          <w:sz w:val="18"/>
          <w:szCs w:val="18"/>
        </w:rPr>
      </w:pPr>
      <w:r>
        <w:rPr>
          <w:sz w:val="18"/>
          <w:szCs w:val="18"/>
        </w:rPr>
      </w:r>
    </w:p>
    <w:tbl>
      <w:tblPr>
        <w:tblStyle w:val="style4119"/>
        <w:tblW w:w="10005" w:type="dxa"/>
        <w:jc w:val="start"/>
        <w:tblInd w:w="0" w:type="dxa"/>
        <w:tblLayout w:type="fixed"/>
        <w:tblCellMar>
          <w:top w:w="40" w:type="dxa"/>
          <w:start w:w="40" w:type="dxa"/>
          <w:bottom w:w="40" w:type="dxa"/>
          <w:end w:w="40" w:type="dxa"/>
        </w:tblCellMar>
        <w:tblLook w:val="0600" w:noVBand="1" w:noHBand="1" w:lastColumn="0" w:firstColumn="0" w:lastRow="0" w:firstRow="0"/>
      </w:tblPr>
      <w:tblGrid>
        <w:gridCol w:w="1169"/>
        <w:gridCol w:w="1291"/>
        <w:gridCol w:w="1695"/>
        <w:gridCol w:w="1304"/>
        <w:gridCol w:w="1456"/>
        <w:gridCol w:w="1530"/>
        <w:gridCol w:w="1560"/>
      </w:tblGrid>
      <w:tr>
        <w:trPr>
          <w:trHeight w:val="330"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Instalment no.</w:t>
            </w:r>
          </w:p>
        </w:tc>
        <w:tc>
          <w:tcPr>
            <w:tcW w:w="1291"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Repayment Date</w:t>
            </w:r>
          </w:p>
        </w:tc>
        <w:tc>
          <w:tcPr>
            <w:tcW w:w="1695"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Outstanding principal</w:t>
            </w:r>
          </w:p>
        </w:tc>
        <w:tc>
          <w:tcPr>
            <w:tcW w:w="1304"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Instalment amt</w:t>
            </w:r>
          </w:p>
        </w:tc>
        <w:tc>
          <w:tcPr>
            <w:tcW w:w="1456"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Principal paid</w:t>
            </w:r>
          </w:p>
        </w:tc>
        <w:tc>
          <w:tcPr>
            <w:tcW w:w="1530"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Interest paid</w:t>
            </w:r>
          </w:p>
        </w:tc>
        <w:tc>
          <w:tcPr>
            <w:tcW w:w="1560"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Closing 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w:t>
            </w:r>
          </w:p>
        </w:tc>
        <w:tc>
          <w:tcPr>
            <w:tcW w:w="1291"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{{kfsData.installmentDetails.installmentSchedule[0].formattedRepaymentDate}}</w:t>
            </w:r>
          </w:p>
        </w:tc>
        <w:tc>
          <w:tcPr>
            <w:tcW w:w="1695"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{{kfsData.installmentDetails.installmentSchedule[0].installmentAmount}}</w:t>
            </w:r>
          </w:p>
        </w:tc>
        <w:tc>
          <w:tcPr>
            <w:tcW w:w="1456"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{{kfsData.installmentDetails.installmentSchedule[0].principalPaid}}</w:t>
            </w:r>
          </w:p>
        </w:tc>
        <w:tc>
          <w:tcPr>
            <w:tcW w:w="1530"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{{kfsData.installmentDetails.installmentSchedule[0].interestPaid}}</w:t>
            </w:r>
          </w:p>
        </w:tc>
        <w:tc>
          <w:tcPr>
            <w:tcW w:w="1560" w:type="dxa"/>
            <w:tcBorders>
              <w:top w:val="single" w:sz="4" w:space="0" w:color="000000"/>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4</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5</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{{kfsData.installmentDetails.installmentSchedule[4].formattedRepaymentDate}}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{{kfsData.installmentDetails.installmentSchedule[4].installmentAmount}}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{{kfsData.installmentDetails.installmentSchedule[4].principalPaid}}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{{kfsData.installmentDetails.installmentSchedule[4].interestPaid}}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{{kfsData.installmentDetails.installmentSchedule[4].closingPrincipal}}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6</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{{kfsData.installmentDetails.installmentSchedule[5].formattedRepaymentDate}}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{{kfsData.installmentDetails.installmentSchedule[5].installmentAmount}}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{{kfsData.installmentDetails.installmentSchedule[5].principalPaid}}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{{kfsData.installmentDetails.installmentSchedule[5].interestPaid}}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{{kfsData.installmentDetails.installmentSchedule[5].closingPrincipal}}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7</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{{kfsData.installmentDetails.installmentSchedule[6].formattedRepaymentDate}}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{{kfsData.installmentDetails.installmentSchedule[6].installmentAmount}}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{{kfsData.installmentDetails.installmentSchedule[6].principalPaid}}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{{kfsData.installmentDetails.installmentSchedule[6].interestPaid}}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{{kfsData.installmentDetails.installmentSchedule[6].closingPrincipal}}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8</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{{kfsData.installmentDetails.installmentSchedule[7].formattedRepaymentDate}}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{{kfsData.installmentDetails.installmentSchedule[7].installmentAmount}}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{{kfsData.installmentDetails.installmentSchedule[7].principalPaid}}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{{kfsData.installmentDetails.installmentSchedule[7].interestPaid}}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{{kfsData.installmentDetails.installmentSchedule[7].closingPrincipal}}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9</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{{kfsData.installmentDetails.installmentSchedule[8].formattedRepaymentDate}}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{{kfsData.installmentDetails.installmentSchedule[8].installmentAmount}}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{{kfsData.installmentDetails.installmentSchedule[8].principalPaid}}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{{kfsData.installmentDetails.installmentSchedule[8].interestPaid}}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{{kfsData.installmentDetails.installmentSchedule[8].closingPrincipal}}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10</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{{kfsData.installmentDetails.installmentSchedule[9].formattedRepaymentDate}}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{{kfsData.installmentDetails.installmentSchedule[9].installmentAmount}}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{{kfsData.installmentDetails.installmentSchedule[9].principalPaid}}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{{kfsData.installmentDetails.installmentSchedule[9].interestPaid}}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{{kfsData.installmentDetails.installmentSchedule[9].closingPrincipal}}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11</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{{kfsData.installmentDetails.installmentSchedule[10].formattedRepaymentDate}}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{{kfsData.installmentDetails.installmentSchedule[10].installmentAmount}}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{{kfsData.installmentDetails.installmentSchedule[10].principalPaid}}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{{kfsData.installmentDetails.installmentSchedule[10].interestPaid}}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{{kfsData.installmentDetails.installmentSchedule[10].closingPrincipal}}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12</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{{kfsData.installmentDetails.installmentSchedule[11].formattedRepaymentDate}}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{{kfsData.installmentDetails.installmentSchedule[11].installmentAmount}}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{{kfsData.installmentDetails.installmentSchedule[11].principalPaid}}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{{kfsData.installmentDetails.installmentSchedule[11].interestPaid}}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{{kfsData.installmentDetails.installmentSchedule[11].closingPrincipal}}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13</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{{kfsData.installmentDetails.installmentSchedule[12].formattedRepaymentDate}}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{{kfsData.installmentDetails.installmentSchedule[12].installmentAmount}}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{{kfsData.installmentDetails.installmentSchedule[12].principalPaid}}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{{kfsData.installmentDetails.installmentSchedule[12].interestPaid}}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{{kfsData.installmentDetails.installmentSchedule[12].closingPrincipal}}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14</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{{kfsData.installmentDetails.installmentSchedule[13].formattedRepaymentDate}}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{{kfsData.installmentDetails.installmentSchedule[13].installmentAmount}}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{{kfsData.installmentDetails.installmentSchedule[13].principalPaid}}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{{kfsData.installmentDetails.installmentSchedule[13].interestPaid}}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{{kfsData.installmentDetails.installmentSchedule[13].closingPrincipal}}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15</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{{kfsData.installmentDetails.installmentSchedule[14].formattedRepaymentDate}}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{{kfsData.installmentDetails.installmentSchedule[14].installmentAmount}}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{{kfsData.installmentDetails.installmentSchedule[14].principalPaid}}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{{kfsData.installmentDetails.installmentSchedule[14].interestPaid}}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{{kfsData.installmentDetails.installmentSchedule[14].closingPrincipal}}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16</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{{kfsData.installmentDetails.installmentSchedule[15].formattedRepaymentDate}}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{{kfsData.installmentDetails.installmentSchedule[15].installmentAmount}}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{{kfsData.installmentDetails.installmentSchedule[15].principalPaid}}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{{kfsData.installmentDetails.installmentSchedule[15].interestPaid}}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{{kfsData.installmentDetails.installmentSchedule[15].closingPrincipal}}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17</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{{kfsData.installmentDetails.installmentSchedule[16].formattedRepaymentDate}}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{{kfsData.installmentDetails.installmentSchedule[16].installmentAmount}}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{{kfsData.installmentDetails.installmentSchedule[16].principalPaid}}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{{kfsData.installmentDetails.installmentSchedule[16].interestPaid}}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{{kfsData.installmentDetails.installmentSchedule[16].closingPrincipal}}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18</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{{kfsData.installmentDetails.installmentSchedule[17].formattedRepaymentDate}}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{{kfsData.installmentDetails.installmentSchedule[17].installmentAmount}}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{{kfsData.installmentDetails.installmentSchedule[17].principalPaid}}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{{kfsData.installmentDetails.installmentSchedule[17].interestPaid}}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{{kfsData.installmentDetails.installmentSchedule[17].closingPrincipal}}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19</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{{kfsData.installmentDetails.installmentSchedule[18].formattedRepaymentDate}}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{{kfsData.installmentDetails.installmentSchedule[18].installmentAmount}}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{{kfsData.installmentDetails.installmentSchedule[18].principalPaid}}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{{kfsData.installmentDetails.installmentSchedule[18].interestPaid}}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{{kfsData.installmentDetails.installmentSchedule[18].closingPrincipal}}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20</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{{kfsData.installmentDetails.installmentSchedule[19].formattedRepaymentDate}}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{{kfsData.installmentDetails.installmentSchedule[19].installmentAmount}}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{{kfsData.installmentDetails.installmentSchedule[19].principalPaid}}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{{kfsData.installmentDetails.installmentSchedule[19].interestPaid}}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{{kfsData.installmentDetails.installmentSchedule[19].closingPrincipal}}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21</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{{kfsData.installmentDetails.installmentSchedule[20].formattedRepaymentDate}}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{{kfsData.installmentDetails.installmentSchedule[20].installmentAmount}}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{{kfsData.installmentDetails.installmentSchedule[20].principalPaid}}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{{kfsData.installmentDetails.installmentSchedule[20].interestPaid}}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{{kfsData.installmentDetails.installmentSchedule[20].closingPrincipal}}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22</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{{kfsData.installmentDetails.installmentSchedule[21].formattedRepaymentDate}}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{{kfsData.installmentDetails.installmentSchedule[21].installmentAmount}}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{{kfsData.installmentDetails.installmentSchedule[21].principalPaid}}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{{kfsData.installmentDetails.installmentSchedule[21].interestPaid}}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{{kfsData.installmentDetails.installmentSchedule[21].closingPrincipal}}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23</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{{kfsData.installmentDetails.installmentSchedule[22].formattedRepaymentDate}}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{{kfsData.installmentDetails.installmentSchedule[22].installmentAmount}}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{{kfsData.installmentDetails.installmentSchedule[22].principalPaid}}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{{kfsData.installmentDetails.installmentSchedule[22].interestPaid}}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{{kfsData.installmentDetails.installmentSchedule[22].closingPrincipal}}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24</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{{kfsData.installmentDetails.installmentSchedule[23].formattedRepaymentDate}}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{{kfsData.installmentDetails.installmentSchedule[23].installmentAmount}}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{{kfsData.installmentDetails.installmentSchedule[23].principalPaid}}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{{kfsData.installmentDetails.installmentSchedule[23].interestPaid}}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{{kfsData.installmentDetails.installmentSchedule[23].closingPrincipal}}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25</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{{kfsData.installmentDetails.installmentSchedule[24].formattedRepaymentDate}}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{{kfsData.installmentDetails.installmentSchedule[24].installmentAmount}}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{{kfsData.installmentDetails.installmentSchedule[24].principalPaid}}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{{kfsData.installmentDetails.installmentSchedule[24].interestPaid}}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{{kfsData.installmentDetails.installmentSchedule[24].closingPrincipal}}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26</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{{kfsData.installmentDetails.installmentSchedule[25].formattedRepaymentDate}}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{{kfsData.installmentDetails.installmentSchedule[25].installmentAmount}}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{{kfsData.installmentDetails.installmentSchedule[25].principalPaid}}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{{kfsData.installmentDetails.installmentSchedule[25].interestPaid}}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{{kfsData.installmentDetails.installmentSchedule[25].closingPrincipal}}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27</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{{kfsData.installmentDetails.installmentSchedule[26].formattedRepaymentDate}}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{{kfsData.installmentDetails.installmentSchedule[26].installmentAmount}}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{{kfsData.installmentDetails.installmentSchedule[26].principalPaid}}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{{kfsData.installmentDetails.installmentSchedule[26].interestPaid}}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{{kfsData.installmentDetails.installmentSchedule[26].closingPrincipal}}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28</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{{kfsData.installmentDetails.installmentSchedule[27].formattedRepaymentDate}}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{{kfsData.installmentDetails.installmentSchedule[27].installmentAmount}}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{{kfsData.installmentDetails.installmentSchedule[27].principalPaid}}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{{kfsData.installmentDetails.installmentSchedule[27].interestPaid}}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{{kfsData.installmentDetails.installmentSchedule[27].closingPrincipal}}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29</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{{kfsData.installmentDetails.installmentSchedule[28].formattedRepaymentDate}}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{{kfsData.installmentDetails.installmentSchedule[28].installmentAmount}}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{{kfsData.installmentDetails.installmentSchedule[28].principalPaid}}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{{kfsData.installmentDetails.installmentSchedule[28].interestPaid}}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{{kfsData.installmentDetails.installmentSchedule[28].closingPrincipal}}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30</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{{kfsData.installmentDetails.installmentSchedule[29].formattedRepaymentDate}}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{{kfsData.installmentDetails.installmentSchedule[29].installmentAmount}}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{{kfsData.installmentDetails.installmentSchedule[29].principalPaid}}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{{kfsData.installmentDetails.installmentSchedule[29].interestPaid}}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{{kfsData.installmentDetails.installmentSchedule[29].closingPrincipal}}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31</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{{kfsData.installmentDetails.installmentSchedule[30].formattedRepaymentDate}}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{{kfsData.installmentDetails.installmentSchedule[30].installmentAmount}}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{{kfsData.installmentDetails.installmentSchedule[30].principalPaid}}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{{kfsData.installmentDetails.installmentSchedule[30].interestPaid}}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{{kfsData.installmentDetails.installmentSchedule[30].closingPrincipal}}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32</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{{kfsData.installmentDetails.installmentSchedule[31].formattedRepaymentDate}}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{{kfsData.installmentDetails.installmentSchedule[31].installmentAmount}}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{{kfsData.installmentDetails.installmentSchedule[31].principalPaid}}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{{kfsData.installmentDetails.installmentSchedule[31].interestPaid}}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{{kfsData.installmentDetails.installmentSchedule[31].closingPrincipal}}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33</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{{kfsData.installmentDetails.installmentSchedule[32].formattedRepaymentDate}}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{{kfsData.installmentDetails.installmentSchedule[32].installmentAmount}}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{{kfsData.installmentDetails.installmentSchedule[32].principalPaid}}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{{kfsData.installmentDetails.installmentSchedule[32].interestPaid}}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{{kfsData.installmentDetails.installmentSchedule[32].closingPrincipal}}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34</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{{kfsData.installmentDetails.installmentSchedule[33].formattedRepaymentDate}}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{{kfsData.installmentDetails.installmentSchedule[33].installmentAmount}}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{{kfsData.installmentDetails.installmentSchedule[33].principalPaid}}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{{kfsData.installmentDetails.installmentSchedule[33].interestPaid}}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{{kfsData.installmentDetails.installmentSchedule[33].closingPrincipal}}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35</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{{kfsData.installmentDetails.installmentSchedule[34].formattedRepaymentDate}}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{{kfsData.installmentDetails.installmentSchedule[34].installmentAmount}}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{{kfsData.installmentDetails.installmentSchedule[34].principalPaid}}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{{kfsData.installmentDetails.installmentSchedule[34].interestPaid}}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{{kfsData.installmentDetails.installmentSchedule[34].closingPrincipal}}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36</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{{kfsData.installmentDetails.installmentSchedule[35].formattedRepaymentDate}}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{{kfsData.installmentDetails.installmentSchedule[35].installmentAmount}}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{{kfsData.installmentDetails.installmentSchedule[35].principalPaid}}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{{kfsData.installmentDetails.installmentSchedule[35].interestPaid}}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{{kfsData.installmentDetails.installmentSchedule[35].closingPrincipal}}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37</w:t>
            </w:r>
          </w:p>
        </w:tc>
        <w:tc>
          <w:tcPr>
            <w:tcW w:w="1291"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{{kfsData.installmentDetails.installmentSchedule[36].formattedRepaymentDate}}</w:t>
            </w:r>
          </w:p>
        </w:tc>
        <w:tc>
          <w:tcPr>
            <w:tcW w:w="1695"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{{kfsData.installmentDetails.installmentSchedule[0].outstandingPrincipal}}</w:t>
            </w:r>
          </w:p>
        </w:tc>
        <w:tc>
          <w:tcPr>
            <w:tcW w:w="1304"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{{kfsData.installmentDetails.installmentSchedule[36].installmentAmount}}</w:t>
            </w:r>
          </w:p>
        </w:tc>
        <w:tc>
          <w:tcPr>
            <w:tcW w:w="1456"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{{kfsData.installmentDetails.installmentSchedule[36].principalPaid}}</w:t>
            </w:r>
          </w:p>
        </w:tc>
        <w:tc>
          <w:tcPr>
            <w:tcW w:w="153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{{kfsData.installmentDetails.installmentSchedule[36].interestPaid}}</w:t>
            </w:r>
          </w:p>
        </w:tc>
        <w:tc>
          <w:tcPr>
            <w:tcW w:w="1560" w:type="dxa"/>
            <w:tcBorders>
              <w:top w:val="single" w:sz="4" w:space="0" w:color="CCCCCC"/>
              <w:start w:val="single" w:sz="4" w:space="0" w:color="000000"/>
              <w:bottom w:val="single" w:sz="4" w:space="0" w:color="000000"/>
              <w:end w:val="single" w:sz="4" w:space="0" w:color="000000"/>
            </w:tcBorders>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{{kfsData.installmentDetails.installmentSchedule[36].closingPrincipal}}</w:t>
            </w:r>
          </w:p>
        </w:tc>
      </w:tr>
      <w:tr>
        <w:trPr>
          <w:trHeight w:val="315" w:hRule="atLeast"/>
        </w:trPr>
        <w:tc>
          <w:tcPr>
            <w:tcW w:w="1169"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Total</w:t>
            </w:r>
          </w:p>
        </w:tc>
        <w:tc>
          <w:tcPr>
            <w:tcW w:w="1291"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r>
          </w:p>
        </w:tc>
        <w:tc>
          <w:tcPr>
            <w:tcW w:w="1695"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r>
          </w:p>
        </w:tc>
        <w:tc>
          <w:tcPr>
            <w:tcW w:w="1304"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{{kfsData.installmentDetails.totalInstallmentAmount}}</w:t>
            </w:r>
          </w:p>
        </w:tc>
        <w:tc>
          <w:tcPr>
            <w:tcW w:w="1456"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{{kfsData.installmentDetails.totalPrincipalPaid}}</w:t>
            </w:r>
          </w:p>
        </w:tc>
        <w:tc>
          <w:tcPr>
            <w:tcW w:w="1530"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t>₹</w:t>
            </w:r>
            <w:r>
              <w:rPr>
                <w:rFonts w:eastAsia="Arial" w:cs="Arial"/>
                <w:kern w:val="0"/>
                <w:sz w:val="18"/>
                <w:szCs w:val="18"/>
                <w:lang w:eastAsia="en-US" w:bidi="ar-SA"/>
              </w:rPr>
              <w:t>{{kfsData.installmentDetails.totalInterestPaid}}]</w:t>
            </w:r>
          </w:p>
        </w:tc>
        <w:tc>
          <w:tcPr>
            <w:tcW w:w="1560" w:type="dxa"/>
            <w:tcBorders>
              <w:top w:val="single" w:sz="8" w:space="0" w:color="000000"/>
              <w:start w:val="single" w:sz="8" w:space="0" w:color="000000"/>
              <w:bottom w:val="single" w:sz="8" w:space="0" w:color="000000"/>
              <w:end w:val="single" w:sz="8" w:space="0" w:color="000000"/>
            </w:tcBorders>
            <w:shd w:color="auto" w:fill="FFFFFF" w:val="clear"/>
          </w:tcPr>
          <w:p>
            <w:pPr>
              <w:pStyle w:val="normal0"/>
              <w:widowControl w:val="false"/>
              <w:spacing w:lineRule="auto" w:line="276" w:before="0" w:after="0"/>
              <w:jc w:val="start"/>
              <w:rPr>
                <w:sz w:val="18"/>
                <w:szCs w:val="18"/>
              </w:rPr>
            </w:pPr>
            <w:r>
              <w:rPr>
                <w:rFonts w:eastAsia="Arial" w:cs="Arial"/>
                <w:kern w:val="0"/>
                <w:sz w:val="18"/>
                <w:szCs w:val="18"/>
                <w:lang w:eastAsia="en-US" w:bidi="ar-SA"/>
              </w:rPr>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144" w:bottom="1440"/>
      <w:pgNumType w:start="42"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MS Gothic">
    <w:charset w:val="01" w:characterSet="utf-8"/>
    <w:family w:val="swiss"/>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1" allowOverlap="0" relativeHeight="0">
              <wp:simplePos x="0" y="0"/>
              <wp:positionH relativeFrom="margin">
                <wp:align>center</wp:align>
              </wp:positionH>
              <wp:positionV relativeFrom="paragraph">
                <wp:posOffset>635</wp:posOffset>
              </wp:positionV>
              <wp:extent cx="14605" cy="14605"/>
              <wp:effectExtent l="0" t="0" r="0" b="0"/>
              <wp:wrapNone/>
              <wp:docPr id="3"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behindDoc="0" distT="0" distB="0" distL="0" distR="0" simplePos="0" locked="0" layoutInCell="1" allowOverlap="0" relativeHeight="0">
              <wp:simplePos x="0" y="0"/>
              <wp:positionH relativeFrom="margin">
                <wp:align>outside</wp:align>
              </wp:positionH>
              <wp:positionV relativeFrom="paragraph">
                <wp:posOffset>635</wp:posOffset>
              </wp:positionV>
              <wp:extent cx="14605" cy="14605"/>
              <wp:effectExtent l="0" t="0" r="0" b="0"/>
              <wp:wrapNone/>
              <wp:docPr id="4" name="Fram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r>
      <mc:AlternateContent>
        <mc:Choice Requires="wps">
          <w:drawing>
            <wp:anchor behindDoc="0" distT="0" distB="0" distL="0" distR="0" simplePos="0" locked="0" layoutInCell="1" allowOverlap="1" relativeHeight="0">
              <wp:simplePos x="0" y="0"/>
              <wp:positionH relativeFrom="margin">
                <wp:align>center</wp:align>
              </wp:positionH>
              <wp:positionV relativeFrom="paragraph">
                <wp:posOffset>635</wp:posOffset>
              </wp:positionV>
              <wp:extent cx="14605" cy="14605"/>
              <wp:effectExtent l="0" t="0" r="0" b="0"/>
              <wp:wrapNone/>
              <wp:docPr id="5"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ind w:firstLine="360" w:end="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ind w:firstLine="360" w:end="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ind w:firstLine="360" w:start="-1160" w:end="360"/>
      <w:jc w:val="center"/>
      <w:rPr>
        <w:sz w:val="16"/>
        <w:szCs w:val="16"/>
      </w:rPr>
    </w:pPr>
    <w:r>
      <w:rPr>
        <w:sz w:val="16"/>
        <w:szCs w:val="16"/>
      </w:rPr>
      <w:t>Address: Mafatlal Centre, 11th Floor, Nariman Point, Mumbai – 400 021 | Phone No. 022-41484529</w:t>
      <w:br/>
      <w:t xml:space="preserve">Website: www.dspfin.com | Email: </w:t>
    </w:r>
    <w:hyperlink r:id="rId1">
      <w:r>
        <w:rPr>
          <w:rStyle w:val="Style3"/>
          <w:color w:val="AF005F"/>
          <w:sz w:val="16"/>
          <w:szCs w:val="16"/>
        </w:rPr>
        <w:t>support@dspfin.com</w:t>
      </w:r>
    </w:hyperlink>
    <w:r>
      <w:rPr>
        <w:sz w:val="16"/>
        <w:szCs w:val="16"/>
      </w:rPr>
      <w:t xml:space="preserve"> </w:t>
    </w:r>
    <w:r>
      <w:rPr>
        <w:color w:val="AF005F"/>
        <w:sz w:val="16"/>
        <w:szCs w:val="16"/>
      </w:rPr>
      <w:br/>
      <w:br/>
    </w:r>
    <w:r>
      <mc:AlternateContent>
        <mc:Choice Requires="wps">
          <w:drawing>
            <wp:anchor behindDoc="0" distT="0" distB="0" distL="0" distR="0" simplePos="0" locked="0" layoutInCell="0" allowOverlap="1" relativeHeight="33">
              <wp:simplePos x="0" y="0"/>
              <wp:positionH relativeFrom="page">
                <wp:posOffset>3378835</wp:posOffset>
              </wp:positionH>
              <wp:positionV relativeFrom="paragraph">
                <wp:posOffset>367030</wp:posOffset>
              </wp:positionV>
              <wp:extent cx="127635" cy="135890"/>
              <wp:effectExtent l="0" t="0" r="0" b="0"/>
              <wp:wrapNone/>
              <wp:docPr id="6" name="Frame4"/>
              <a:graphic xmlns:a="http://schemas.openxmlformats.org/drawingml/2006/main">
                <a:graphicData uri="http://schemas.microsoft.com/office/word/2010/wordprocessingShape">
                  <wps:wsp>
                    <wps:cNvSpPr txBox="1"/>
                    <wps:spPr>
                      <a:xfrm>
                        <a:off x="0" y="0"/>
                        <a:ext cx="127635" cy="135890"/>
                      </a:xfrm>
                      <a:prstGeom prst="rect"/>
                      <a:solidFill>
                        <a:srgbClr val="FFFFFF">
                          <a:alpha val="0"/>
                        </a:srgbClr>
                      </a:solidFill>
                    </wps:spPr>
                    <wps:txbx>
                      <w:txbxContent>
                        <w:p>
                          <w:pPr>
                            <w:pStyle w:val="Footer"/>
                            <w:pBdr/>
                            <w:rPr>
                              <w:rStyle w:val="PageNumber"/>
                              <w:sz w:val="20"/>
                              <w:szCs w:val="20"/>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42</w:t>
                          </w:r>
                          <w:r>
                            <w:rPr>
                              <w:rStyle w:val="PageNumber"/>
                              <w:sz w:val="16"/>
                              <w:szCs w:val="16"/>
                            </w:rPr>
                            <w:fldChar w:fldCharType="end"/>
                          </w:r>
                        </w:p>
                      </w:txbxContent>
                    </wps:txbx>
                    <wps:bodyPr anchor="t" lIns="0" tIns="0" rIns="0" bIns="0">
                      <a:noAutofit/>
                    </wps:bodyPr>
                  </wps:wsp>
                </a:graphicData>
              </a:graphic>
            </wp:anchor>
          </w:drawing>
        </mc:Choice>
        <mc:Fallback>
          <w:pict>
            <v:rect fillcolor="#FFFFFF" style="position:absolute;rotation:-0;width:10.05pt;height:10.7pt;mso-wrap-distance-left:0pt;mso-wrap-distance-right:0pt;mso-wrap-distance-top:0pt;mso-wrap-distance-bottom:0pt;margin-top:28.9pt;mso-position-vertical-relative:text;margin-left:266.05pt;mso-position-horizontal-relative:page">
              <v:fill opacity="0f"/>
              <v:textbox inset="0in,0in,0in,0in">
                <w:txbxContent>
                  <w:p>
                    <w:pPr>
                      <w:pStyle w:val="Footer"/>
                      <w:pBdr/>
                      <w:rPr>
                        <w:rStyle w:val="PageNumber"/>
                        <w:sz w:val="20"/>
                        <w:szCs w:val="20"/>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42</w:t>
                    </w:r>
                    <w:r>
                      <w:rPr>
                        <w:rStyle w:val="PageNumber"/>
                        <w:sz w:val="16"/>
                        <w:szCs w:val="16"/>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ind w:firstLine="360" w:start="-1160" w:end="360"/>
      <w:jc w:val="center"/>
      <w:rPr>
        <w:sz w:val="16"/>
        <w:szCs w:val="16"/>
      </w:rPr>
    </w:pPr>
    <w:r>
      <w:rPr>
        <w:sz w:val="16"/>
        <w:szCs w:val="16"/>
      </w:rPr>
      <w:t>Address: Mafatlal Centre, 11th Floor, Nariman Point, Mumbai – 400 021 | Phone No. 022-41484529</w:t>
      <w:br/>
      <w:t xml:space="preserve">Website: www.dspfin.com | Email: </w:t>
    </w:r>
    <w:hyperlink r:id="rId1">
      <w:r>
        <w:rPr>
          <w:rStyle w:val="Style3"/>
          <w:color w:val="AF005F"/>
          <w:sz w:val="16"/>
          <w:szCs w:val="16"/>
        </w:rPr>
        <w:t>support@dspfin.com</w:t>
      </w:r>
    </w:hyperlink>
    <w:r>
      <w:rPr>
        <w:sz w:val="16"/>
        <w:szCs w:val="16"/>
      </w:rPr>
      <w:t xml:space="preserve"> </w:t>
    </w:r>
    <w:r>
      <w:rPr>
        <w:color w:val="AF005F"/>
        <w:sz w:val="16"/>
        <w:szCs w:val="16"/>
      </w:rPr>
      <w:br/>
      <w:br/>
    </w:r>
    <w:r>
      <mc:AlternateContent>
        <mc:Choice Requires="wps">
          <w:drawing>
            <wp:anchor behindDoc="0" distT="0" distB="0" distL="0" distR="0" simplePos="0" locked="0" layoutInCell="0" allowOverlap="1" relativeHeight="33">
              <wp:simplePos x="0" y="0"/>
              <wp:positionH relativeFrom="page">
                <wp:posOffset>3378835</wp:posOffset>
              </wp:positionH>
              <wp:positionV relativeFrom="paragraph">
                <wp:posOffset>367030</wp:posOffset>
              </wp:positionV>
              <wp:extent cx="127635" cy="135890"/>
              <wp:effectExtent l="0" t="0" r="0" b="0"/>
              <wp:wrapNone/>
              <wp:docPr id="7" name="Frame4"/>
              <a:graphic xmlns:a="http://schemas.openxmlformats.org/drawingml/2006/main">
                <a:graphicData uri="http://schemas.microsoft.com/office/word/2010/wordprocessingShape">
                  <wps:wsp>
                    <wps:cNvSpPr txBox="1"/>
                    <wps:spPr>
                      <a:xfrm>
                        <a:off x="0" y="0"/>
                        <a:ext cx="127635" cy="135890"/>
                      </a:xfrm>
                      <a:prstGeom prst="rect"/>
                      <a:solidFill>
                        <a:srgbClr val="FFFFFF">
                          <a:alpha val="0"/>
                        </a:srgbClr>
                      </a:solidFill>
                    </wps:spPr>
                    <wps:txbx>
                      <w:txbxContent>
                        <w:p>
                          <w:pPr>
                            <w:pStyle w:val="Footer"/>
                            <w:pBdr/>
                            <w:rPr>
                              <w:rStyle w:val="PageNumber"/>
                              <w:sz w:val="20"/>
                              <w:szCs w:val="20"/>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42</w:t>
                          </w:r>
                          <w:r>
                            <w:rPr>
                              <w:rStyle w:val="PageNumber"/>
                              <w:sz w:val="16"/>
                              <w:szCs w:val="16"/>
                            </w:rPr>
                            <w:fldChar w:fldCharType="end"/>
                          </w:r>
                        </w:p>
                      </w:txbxContent>
                    </wps:txbx>
                    <wps:bodyPr anchor="t" lIns="0" tIns="0" rIns="0" bIns="0">
                      <a:noAutofit/>
                    </wps:bodyPr>
                  </wps:wsp>
                </a:graphicData>
              </a:graphic>
            </wp:anchor>
          </w:drawing>
        </mc:Choice>
        <mc:Fallback>
          <w:pict>
            <v:rect fillcolor="#FFFFFF" style="position:absolute;rotation:-0;width:10.05pt;height:10.7pt;mso-wrap-distance-left:0pt;mso-wrap-distance-right:0pt;mso-wrap-distance-top:0pt;mso-wrap-distance-bottom:0pt;margin-top:28.9pt;mso-position-vertical-relative:text;margin-left:266.05pt;mso-position-horizontal-relative:page">
              <v:fill opacity="0f"/>
              <v:textbox inset="0in,0in,0in,0in">
                <w:txbxContent>
                  <w:p>
                    <w:pPr>
                      <w:pStyle w:val="Footer"/>
                      <w:pBdr/>
                      <w:rPr>
                        <w:rStyle w:val="PageNumber"/>
                        <w:sz w:val="20"/>
                        <w:szCs w:val="20"/>
                      </w:rPr>
                    </w:pPr>
                    <w:r>
                      <w:rPr>
                        <w:rStyle w:val="PageNumber"/>
                        <w:sz w:val="16"/>
                        <w:szCs w:val="16"/>
                      </w:rPr>
                      <w:fldChar w:fldCharType="begin"/>
                    </w:r>
                    <w:r>
                      <w:rPr>
                        <w:rStyle w:val="PageNumber"/>
                        <w:sz w:val="16"/>
                        <w:szCs w:val="16"/>
                      </w:rPr>
                      <w:instrText xml:space="preserve"> PAGE </w:instrText>
                    </w:r>
                    <w:r>
                      <w:rPr>
                        <w:rStyle w:val="PageNumber"/>
                        <w:sz w:val="16"/>
                        <w:szCs w:val="16"/>
                      </w:rPr>
                      <w:fldChar w:fldCharType="separate"/>
                    </w:r>
                    <w:r>
                      <w:rPr>
                        <w:rStyle w:val="PageNumber"/>
                        <w:sz w:val="16"/>
                        <w:szCs w:val="16"/>
                      </w:rPr>
                      <w:t>42</w:t>
                    </w:r>
                    <w:r>
                      <w:rPr>
                        <w:rStyle w:val="PageNumber"/>
                        <w:sz w:val="16"/>
                        <w:szCs w:val="16"/>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rPr>
        <w:b/>
        <w:sz w:val="20"/>
        <w:szCs w:val="20"/>
      </w:rPr>
    </w:pPr>
    <w:r>
      <w:rPr/>
      <w:t xml:space="preserve">                                                                                                     </w:t>
    </w:r>
    <w:r>
      <w:rPr>
        <w:b/>
        <w:sz w:val="20"/>
        <w:szCs w:val="20"/>
      </w:rPr>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769745" cy="3257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tretch>
                    <a:fillRect/>
                  </a:stretch>
                </pic:blipFill>
                <pic:spPr bwMode="auto">
                  <a:xfrm>
                    <a:off x="0" y="0"/>
                    <a:ext cx="1769745" cy="325755"/>
                  </a:xfrm>
                  <a:prstGeom prst="rect">
                    <a:avLst/>
                  </a:prstGeom>
                  <a:noFill/>
                </pic:spPr>
              </pic:pic>
            </a:graphicData>
          </a:graphic>
        </wp:anchor>
      </w:drawing>
    </w:r>
    <w:r>
      <w:rPr>
        <w:b/>
        <w:sz w:val="20"/>
        <w:szCs w:val="20"/>
      </w:rPr>
      <w:t>DSP FINANCE PRIVATE LIMITED</w:t>
    </w:r>
  </w:p>
  <w:p>
    <w:pPr>
      <w:pStyle w:val="normal0"/>
      <w:spacing w:lineRule="auto" w:line="240"/>
      <w:jc w:val="end"/>
      <w:rPr>
        <w:sz w:val="16"/>
        <w:szCs w:val="16"/>
      </w:rPr>
    </w:pPr>
    <w:r>
      <w:rPr>
        <w:sz w:val="16"/>
        <w:szCs w:val="16"/>
      </w:rPr>
      <w:t>CIN: U64920MH1996PTC099483</w:t>
    </w:r>
  </w:p>
  <w:p>
    <w:pPr>
      <w:pStyle w:val="norm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0"/>
      <w:rPr>
        <w:b/>
        <w:sz w:val="20"/>
        <w:szCs w:val="20"/>
      </w:rPr>
    </w:pPr>
    <w:r>
      <w:rPr/>
      <w:t xml:space="preserve">                                                                                                     </w:t>
    </w:r>
    <w:r>
      <w:rPr>
        <w:b/>
        <w:sz w:val="20"/>
        <w:szCs w:val="20"/>
      </w:rPr>
      <w:drawing>
        <wp:anchor behindDoc="1" distT="0" distB="0" distL="0" distR="0" simplePos="0" locked="0" layoutInCell="1" allowOverlap="1" relativeHeight="17">
          <wp:simplePos x="0" y="0"/>
          <wp:positionH relativeFrom="column">
            <wp:posOffset>0</wp:posOffset>
          </wp:positionH>
          <wp:positionV relativeFrom="paragraph">
            <wp:posOffset>635</wp:posOffset>
          </wp:positionV>
          <wp:extent cx="1769745" cy="325755"/>
          <wp:effectExtent l="0" t="0" r="0" b="0"/>
          <wp:wrapNone/>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tretch>
                    <a:fillRect/>
                  </a:stretch>
                </pic:blipFill>
                <pic:spPr bwMode="auto">
                  <a:xfrm>
                    <a:off x="0" y="0"/>
                    <a:ext cx="1769745" cy="325755"/>
                  </a:xfrm>
                  <a:prstGeom prst="rect">
                    <a:avLst/>
                  </a:prstGeom>
                  <a:noFill/>
                </pic:spPr>
              </pic:pic>
            </a:graphicData>
          </a:graphic>
        </wp:anchor>
      </w:drawing>
    </w:r>
    <w:r>
      <w:rPr>
        <w:b/>
        <w:sz w:val="20"/>
        <w:szCs w:val="20"/>
      </w:rPr>
      <w:t>DSP FINANCE PRIVATE LIMITED</w:t>
    </w:r>
  </w:p>
  <w:p>
    <w:pPr>
      <w:pStyle w:val="normal0"/>
      <w:spacing w:lineRule="auto" w:line="240"/>
      <w:jc w:val="end"/>
      <w:rPr>
        <w:sz w:val="16"/>
        <w:szCs w:val="16"/>
      </w:rPr>
    </w:pPr>
    <w:r>
      <w:rPr>
        <w:sz w:val="16"/>
        <w:szCs w:val="16"/>
      </w:rPr>
      <w:t>CIN: U64920MH1996PTC099483</w:t>
    </w:r>
  </w:p>
  <w:p>
    <w:pPr>
      <w:pStyle w:val="norm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5"/>
      <w:numFmt w:val="lowerLetter"/>
      <w:lvlText w:val="(%1)"/>
      <w:lvlJc w:val="start"/>
      <w:pPr>
        <w:tabs>
          <w:tab w:val="num" w:pos="0"/>
        </w:tabs>
        <w:ind w:start="720" w:hanging="360"/>
      </w:pPr>
      <w:rPr>
        <w:rFonts w:ascii="Arial" w:hAnsi="Arial" w:eastAsia="Arial" w:cs="Arial"/>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720" w:hanging="360"/>
      </w:pPr>
      <w:rPr>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Roman"/>
      <w:lvlText w:val="(%1)"/>
      <w:lvlJc w:val="start"/>
      <w:pPr>
        <w:tabs>
          <w:tab w:val="num" w:pos="0"/>
        </w:tabs>
        <w:ind w:start="1080" w:hanging="7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lowerRoman"/>
      <w:lvlText w:val="(%1)"/>
      <w:lvlJc w:val="start"/>
      <w:pPr>
        <w:tabs>
          <w:tab w:val="num" w:pos="0"/>
        </w:tabs>
        <w:ind w:start="1080" w:hanging="72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33"/>
      <w:numFmt w:val="decimal"/>
      <w:lvlText w:val="%1"/>
      <w:lvlJc w:val="start"/>
      <w:pPr>
        <w:tabs>
          <w:tab w:val="num" w:pos="0"/>
        </w:tabs>
        <w:ind w:start="680" w:hanging="680"/>
      </w:pPr>
      <w:rPr>
        <w:sz w:val="18"/>
        <w:i w:val="false"/>
        <w:b/>
        <w:szCs w:val="18"/>
      </w:rPr>
    </w:lvl>
    <w:lvl w:ilvl="1">
      <w:start w:val="4"/>
      <w:numFmt w:val="decimal"/>
      <w:lvlText w:val="%1.%2"/>
      <w:lvlJc w:val="start"/>
      <w:pPr>
        <w:tabs>
          <w:tab w:val="num" w:pos="0"/>
        </w:tabs>
        <w:ind w:start="680" w:hanging="680"/>
      </w:pPr>
      <w:rPr>
        <w:sz w:val="18"/>
        <w:i w:val="false"/>
        <w:b/>
        <w:szCs w:val="18"/>
      </w:rPr>
    </w:lvl>
    <w:lvl w:ilvl="2">
      <w:start w:val="1"/>
      <w:numFmt w:val="lowerRoman"/>
      <w:lvlText w:val="(%3)"/>
      <w:lvlJc w:val="start"/>
      <w:pPr>
        <w:tabs>
          <w:tab w:val="num" w:pos="0"/>
        </w:tabs>
        <w:ind w:start="1041" w:hanging="681"/>
      </w:pPr>
      <w:rPr>
        <w:sz w:val="18"/>
        <w:i w:val="false"/>
        <w:b w:val="false"/>
        <w:szCs w:val="18"/>
        <w:rFonts w:ascii="Arial" w:hAnsi="Arial" w:eastAsia="Arial" w:cs="Arial"/>
      </w:rPr>
    </w:lvl>
    <w:lvl w:ilvl="3">
      <w:start w:val="1"/>
      <w:numFmt w:val="lowerLetter"/>
      <w:lvlText w:val="(%4)"/>
      <w:lvlJc w:val="start"/>
      <w:pPr>
        <w:tabs>
          <w:tab w:val="num" w:pos="0"/>
        </w:tabs>
        <w:ind w:start="1106" w:hanging="680"/>
      </w:pPr>
      <w:rPr>
        <w:rFonts w:ascii="Arial" w:hAnsi="Arial" w:eastAsia="Arial" w:cs="Arial"/>
      </w:rPr>
    </w:lvl>
    <w:lvl w:ilvl="4">
      <w:start w:val="1"/>
      <w:numFmt w:val="lowerLetter"/>
      <w:lvlText w:val="(%5)"/>
      <w:lvlJc w:val="start"/>
      <w:pPr>
        <w:tabs>
          <w:tab w:val="num" w:pos="0"/>
        </w:tabs>
        <w:ind w:start="2608" w:hanging="566"/>
      </w:pPr>
      <w:rPr/>
    </w:lvl>
    <w:lvl w:ilvl="5">
      <w:start w:val="1"/>
      <w:numFmt w:val="upperRoman"/>
      <w:lvlText w:val="(%6)"/>
      <w:lvlJc w:val="start"/>
      <w:pPr>
        <w:tabs>
          <w:tab w:val="num" w:pos="0"/>
        </w:tabs>
        <w:ind w:start="3288" w:hanging="680"/>
      </w:pPr>
      <w:rPr/>
    </w:lvl>
    <w:lvl w:ilvl="6">
      <w:start w:val="1"/>
      <w:numFmt w:val="decimal"/>
      <w:lvlText w:val=""/>
      <w:lvlJc w:val="start"/>
      <w:pPr>
        <w:tabs>
          <w:tab w:val="num" w:pos="0"/>
        </w:tabs>
        <w:ind w:start="3288" w:hanging="680"/>
      </w:pPr>
      <w:rPr/>
    </w:lvl>
    <w:lvl w:ilvl="7">
      <w:start w:val="1"/>
      <w:numFmt w:val="decimal"/>
      <w:lvlText w:val=""/>
      <w:lvlJc w:val="start"/>
      <w:pPr>
        <w:tabs>
          <w:tab w:val="num" w:pos="0"/>
        </w:tabs>
        <w:ind w:start="3288" w:hanging="680"/>
      </w:pPr>
      <w:rPr/>
    </w:lvl>
    <w:lvl w:ilvl="8">
      <w:start w:val="1"/>
      <w:numFmt w:val="decimal"/>
      <w:lvlText w:val=""/>
      <w:lvlJc w:val="start"/>
      <w:pPr>
        <w:tabs>
          <w:tab w:val="num" w:pos="0"/>
        </w:tabs>
        <w:ind w:start="3288" w:hanging="6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US" w:bidi="ar-SA"/>
      </w:rPr>
    </w:rPrDefault>
    <w:pPrDefault>
      <w:pPr>
        <w:suppressAutoHyphens w:val="true"/>
      </w:pPr>
    </w:pPrDefault>
  </w:docDefault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n-IN" w:eastAsia="en-US" w:bidi="ar-SA"/>
    </w:rPr>
  </w:style>
  <w:style w:type="paragraph" w:styleId="Heading1">
    <w:name w:val="heading 1"/>
    <w:basedOn w:val="normal0"/>
    <w:next w:val="normal0"/>
    <w:qFormat/>
    <w:pPr>
      <w:keepNext w:val="true"/>
      <w:keepLines/>
      <w:spacing w:before="400" w:after="120"/>
      <w:outlineLvl w:val="0"/>
    </w:pPr>
    <w:rPr>
      <w:sz w:val="40"/>
      <w:szCs w:val="40"/>
    </w:rPr>
  </w:style>
  <w:style w:type="paragraph" w:styleId="Heading2">
    <w:name w:val="heading 2"/>
    <w:basedOn w:val="normal0"/>
    <w:next w:val="normal0"/>
    <w:qFormat/>
    <w:pPr>
      <w:keepNext w:val="true"/>
      <w:keepLines/>
      <w:spacing w:before="360" w:after="120"/>
      <w:outlineLvl w:val="1"/>
    </w:pPr>
    <w:rPr>
      <w:sz w:val="32"/>
      <w:szCs w:val="32"/>
    </w:rPr>
  </w:style>
  <w:style w:type="paragraph" w:styleId="Heading3">
    <w:name w:val="heading 3"/>
    <w:basedOn w:val="normal0"/>
    <w:next w:val="normal0"/>
    <w:qFormat/>
    <w:pPr>
      <w:keepNext w:val="true"/>
      <w:keepLines/>
      <w:spacing w:before="320" w:after="80"/>
      <w:outlineLvl w:val="2"/>
    </w:pPr>
    <w:rPr>
      <w:color w:val="434343"/>
      <w:sz w:val="28"/>
      <w:szCs w:val="28"/>
    </w:rPr>
  </w:style>
  <w:style w:type="paragraph" w:styleId="Heading4">
    <w:name w:val="heading 4"/>
    <w:basedOn w:val="normal0"/>
    <w:next w:val="normal0"/>
    <w:qFormat/>
    <w:pPr>
      <w:keepNext w:val="true"/>
      <w:keepLines/>
      <w:spacing w:before="280" w:after="80"/>
      <w:outlineLvl w:val="3"/>
    </w:pPr>
    <w:rPr>
      <w:color w:val="666666"/>
      <w:sz w:val="24"/>
      <w:szCs w:val="24"/>
    </w:rPr>
  </w:style>
  <w:style w:type="paragraph" w:styleId="Heading5">
    <w:name w:val="heading 5"/>
    <w:basedOn w:val="normal0"/>
    <w:next w:val="normal0"/>
    <w:qFormat/>
    <w:pPr>
      <w:keepNext w:val="true"/>
      <w:keepLines/>
      <w:spacing w:before="240" w:after="80"/>
      <w:outlineLvl w:val="4"/>
    </w:pPr>
    <w:rPr>
      <w:color w:val="666666"/>
    </w:rPr>
  </w:style>
  <w:style w:type="paragraph" w:styleId="Heading6">
    <w:name w:val="heading 6"/>
    <w:basedOn w:val="normal0"/>
    <w:next w:val="normal0"/>
    <w:qFormat/>
    <w:pPr>
      <w:keepNext w:val="true"/>
      <w:keepLines/>
      <w:spacing w:before="240" w:after="80"/>
      <w:outlineLvl w:val="5"/>
    </w:pPr>
    <w:rPr>
      <w:i/>
      <w:color w:val="666666"/>
    </w:rPr>
  </w:style>
  <w:style w:type="character" w:styleId="DefaultParagraphFont" w:default="1">
    <w:name w:val="Default Paragraph Font"/>
    <w:uiPriority w:val="1"/>
    <w:qFormat/>
    <w:rPr/>
  </w:style>
  <w:style w:type="character" w:styleId="HeaderCharb2b2b743-c509-4d92-97cf-e800018607f6" w:customStyle="1">
    <w:name w:val="Header Char_b2b2b743-c509-4d92-97cf-e800018607f6"/>
    <w:basedOn w:val="DefaultParagraphFont"/>
    <w:link w:val="Header"/>
    <w:uiPriority w:val="99"/>
    <w:qFormat/>
    <w:rPr/>
  </w:style>
  <w:style w:type="character" w:styleId="FooterChar50f1922a-98a7-440e-9f6c-b5d676027799" w:customStyle="1">
    <w:name w:val="Footer Char_50f1922a-98a7-440e-9f6c-b5d676027799"/>
    <w:basedOn w:val="DefaultParagraphFont"/>
    <w:link w:val="Footer"/>
    <w:uiPriority w:val="99"/>
    <w:qFormat/>
    <w:rPr/>
  </w:style>
  <w:style w:type="character" w:styleId="PageNumber">
    <w:name w:val="page number"/>
    <w:basedOn w:val="DefaultParagraphFont"/>
    <w:uiPriority w:val="99"/>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0"/>
    <w:next w:val="normal0"/>
    <w:qFormat/>
    <w:pPr>
      <w:keepNext w:val="true"/>
      <w:keepLines/>
      <w:spacing w:before="240" w:after="60"/>
    </w:pPr>
    <w:rPr>
      <w:sz w:val="52"/>
      <w:szCs w:val="52"/>
    </w:rPr>
  </w:style>
  <w:style w:type="paragraph" w:styleId="normal0" w:customStyle="1">
    <w:name w:val="normal_0"/>
    <w:qFormat/>
    <w:pPr>
      <w:widowControl/>
      <w:bidi w:val="0"/>
      <w:spacing w:lineRule="auto" w:line="276" w:before="0" w:after="0"/>
      <w:jc w:val="start"/>
    </w:pPr>
    <w:rPr>
      <w:rFonts w:ascii="Arial" w:hAnsi="Arial" w:eastAsia="Arial" w:cs="Arial"/>
      <w:color w:val="auto"/>
      <w:kern w:val="0"/>
      <w:sz w:val="22"/>
      <w:szCs w:val="22"/>
      <w:lang w:val="en-IN" w:eastAsia="en-US" w:bidi="ar-SA"/>
    </w:rPr>
  </w:style>
  <w:style w:type="paragraph" w:styleId="Subtitle">
    <w:name w:val="Subtitle"/>
    <w:basedOn w:val="normal0"/>
    <w:next w:val="normal0"/>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b2b2b743-c509-4d92-97cf-e800018607f6"/>
    <w:uiPriority w:val="99"/>
    <w:pPr>
      <w:tabs>
        <w:tab w:val="clear" w:pos="720"/>
        <w:tab w:val="center" w:pos="4513" w:leader="none"/>
        <w:tab w:val="right" w:pos="9026" w:leader="none"/>
      </w:tabs>
      <w:spacing w:lineRule="auto" w:line="240"/>
    </w:pPr>
    <w:rPr/>
  </w:style>
  <w:style w:type="paragraph" w:styleId="Footer">
    <w:name w:val="footer"/>
    <w:basedOn w:val="Normal"/>
    <w:link w:val="FooterChar50f1922a-98a7-440e-9f6c-b5d676027799"/>
    <w:uiPriority w:val="99"/>
    <w:pPr>
      <w:tabs>
        <w:tab w:val="clear" w:pos="720"/>
        <w:tab w:val="center" w:pos="4513" w:leader="none"/>
        <w:tab w:val="right" w:pos="9026" w:leader="none"/>
      </w:tabs>
      <w:spacing w:lineRule="auto" w:line="240"/>
    </w:pPr>
    <w:rPr/>
  </w:style>
  <w:style w:type="paragraph" w:styleId="FrameContents">
    <w:name w:val="Frame Contents"/>
    <w:basedOn w:val="Normal"/>
    <w:qFormat/>
    <w:pPr/>
    <w:rPr/>
  </w:style>
  <w:style w:type="numbering" w:styleId="NoList" w:default="1">
    <w:name w:val="No List"/>
    <w:uiPriority w:val="99"/>
    <w:qFormat/>
  </w:style>
  <w:style w:type="table" w:default="1" w:styleId="style105">
    <w:name w:val="Normal Table"/>
    <w:uiPriority w:val="99"/>
    <w:tblPr>
      <w:tblCellMar>
        <w:top w:w="0" w:type="dxa"/>
        <w:left w:w="108" w:type="dxa"/>
        <w:bottom w:w="0" w:type="dxa"/>
        <w:right w:w="108" w:type="dxa"/>
      </w:tblCellMar>
    </w:tblPr>
    <w:tcPr/>
  </w:style>
  <w:style w:type="table" w:customStyle="1" w:styleId="style4097">
    <w:name w:val="TableNormal"/>
    <w:tblPr>
      <w:tblCellMar>
        <w:top w:w="100" w:type="dxa"/>
        <w:left w:w="100" w:type="dxa"/>
        <w:bottom w:w="100" w:type="dxa"/>
        <w:right w:w="100" w:type="dxa"/>
      </w:tblCellMar>
    </w:tblPr>
    <w:tcPr/>
  </w:style>
  <w:style w:type="table" w:customStyle="1" w:styleId="style4099">
    <w:name w:val="Table Normal1"/>
    <w:tblPr>
      <w:tblCellMar>
        <w:top w:w="0" w:type="dxa"/>
        <w:left w:w="0" w:type="dxa"/>
        <w:bottom w:w="0" w:type="dxa"/>
        <w:right w:w="0" w:type="dxa"/>
      </w:tblCellMar>
    </w:tblPr>
    <w:tcPr/>
  </w:style>
  <w:style w:type="table" w:customStyle="1" w:styleId="style4100">
    <w:name w:val="Table1"/>
    <w:basedOn w:val="style4099"/>
    <w:tblPr>
      <w:tblStyleRowBandSize w:val="1"/>
      <w:tblStyleColBandSize w:val="1"/>
      <w:tblCellMar>
        <w:top w:w="0" w:type="dxa"/>
        <w:left w:w="115" w:type="dxa"/>
        <w:bottom w:w="0" w:type="dxa"/>
        <w:right w:w="115" w:type="dxa"/>
      </w:tblCellMar>
    </w:tblPr>
    <w:tcPr/>
  </w:style>
  <w:style w:type="table" w:customStyle="1" w:styleId="style4101">
    <w:name w:val="Table2"/>
    <w:basedOn w:val="style4099"/>
    <w:tblPr>
      <w:tblStyleRowBandSize w:val="1"/>
      <w:tblStyleColBandSize w:val="1"/>
      <w:tblCellMar>
        <w:top w:w="0" w:type="dxa"/>
        <w:left w:w="115" w:type="dxa"/>
        <w:bottom w:w="0" w:type="dxa"/>
        <w:right w:w="115" w:type="dxa"/>
      </w:tblCellMar>
    </w:tblPr>
    <w:tcPr/>
  </w:style>
  <w:style w:type="table" w:customStyle="1" w:styleId="style4102">
    <w:name w:val="Table3"/>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03">
    <w:name w:val="Table4"/>
    <w:basedOn w:val="style4099"/>
    <w:tblPr>
      <w:tblStyleRowBandSize w:val="1"/>
      <w:tblStyleColBandSize w:val="1"/>
      <w:tblCellMar>
        <w:top w:w="0" w:type="dxa"/>
        <w:left w:w="115" w:type="dxa"/>
        <w:bottom w:w="0" w:type="dxa"/>
        <w:right w:w="115" w:type="dxa"/>
      </w:tblCellMar>
    </w:tblPr>
    <w:tcPr/>
  </w:style>
  <w:style w:type="table" w:customStyle="1" w:styleId="style4104">
    <w:name w:val="Table5"/>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05">
    <w:name w:val="Table6"/>
    <w:basedOn w:val="style4099"/>
    <w:tblPr>
      <w:tblStyleRowBandSize w:val="1"/>
      <w:tblStyleColBandSize w:val="1"/>
      <w:tblCellMar>
        <w:top w:w="0" w:type="dxa"/>
        <w:left w:w="115" w:type="dxa"/>
        <w:bottom w:w="0" w:type="dxa"/>
        <w:right w:w="115" w:type="dxa"/>
      </w:tblCellMar>
    </w:tblPr>
    <w:tcPr/>
  </w:style>
  <w:style w:type="table" w:customStyle="1" w:styleId="style4106">
    <w:name w:val="Table7"/>
    <w:basedOn w:val="style4099"/>
    <w:tblPr>
      <w:tblStyleRowBandSize w:val="1"/>
      <w:tblStyleColBandSize w:val="1"/>
      <w:tblCellMar>
        <w:top w:w="0" w:type="dxa"/>
        <w:left w:w="115" w:type="dxa"/>
        <w:bottom w:w="0" w:type="dxa"/>
        <w:right w:w="115" w:type="dxa"/>
      </w:tblCellMar>
    </w:tblPr>
    <w:tcPr/>
  </w:style>
  <w:style w:type="table" w:customStyle="1" w:styleId="style4107">
    <w:name w:val="Table8"/>
    <w:basedOn w:val="style4099"/>
    <w:tblPr>
      <w:tblStyleRowBandSize w:val="1"/>
      <w:tblStyleColBandSize w:val="1"/>
      <w:tblCellMar>
        <w:top w:w="0" w:type="dxa"/>
        <w:left w:w="115" w:type="dxa"/>
        <w:bottom w:w="0" w:type="dxa"/>
        <w:right w:w="115" w:type="dxa"/>
      </w:tblCellMar>
    </w:tblPr>
    <w:tcPr/>
  </w:style>
  <w:style w:type="table" w:customStyle="1" w:styleId="style4108">
    <w:name w:val="Table9"/>
    <w:basedOn w:val="style4099"/>
    <w:tblPr>
      <w:tblStyleRowBandSize w:val="1"/>
      <w:tblStyleColBandSize w:val="1"/>
      <w:tblCellMar>
        <w:top w:w="0" w:type="dxa"/>
        <w:left w:w="115" w:type="dxa"/>
        <w:bottom w:w="0" w:type="dxa"/>
        <w:right w:w="115" w:type="dxa"/>
      </w:tblCellMar>
    </w:tblPr>
    <w:tcPr/>
  </w:style>
  <w:style w:type="table" w:customStyle="1" w:styleId="style4109">
    <w:name w:val="Table10"/>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10">
    <w:name w:val="Table11"/>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11">
    <w:name w:val="Table1_0"/>
    <w:basedOn w:val="style4099"/>
    <w:tblPr>
      <w:tblStyleRowBandSize w:val="1"/>
      <w:tblStyleColBandSize w:val="1"/>
      <w:tblCellMar>
        <w:top w:w="0" w:type="dxa"/>
        <w:left w:w="115" w:type="dxa"/>
        <w:bottom w:w="0" w:type="dxa"/>
        <w:right w:w="115" w:type="dxa"/>
      </w:tblCellMar>
    </w:tblPr>
    <w:tcPr/>
  </w:style>
  <w:style w:type="table" w:customStyle="1" w:styleId="style4112">
    <w:name w:val="Table2_0"/>
    <w:basedOn w:val="style4099"/>
    <w:tblPr>
      <w:tblStyleRowBandSize w:val="1"/>
      <w:tblStyleColBandSize w:val="1"/>
      <w:tblCellMar>
        <w:top w:w="0" w:type="dxa"/>
        <w:left w:w="115" w:type="dxa"/>
        <w:bottom w:w="0" w:type="dxa"/>
        <w:right w:w="115" w:type="dxa"/>
      </w:tblCellMar>
    </w:tblPr>
    <w:tcPr/>
  </w:style>
  <w:style w:type="table" w:customStyle="1" w:styleId="style4113">
    <w:name w:val="Table3_0"/>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14">
    <w:name w:val="Table4_0"/>
    <w:basedOn w:val="style4099"/>
    <w:tblPr>
      <w:tblStyleRowBandSize w:val="1"/>
      <w:tblStyleColBandSize w:val="1"/>
      <w:tblCellMar>
        <w:top w:w="0" w:type="dxa"/>
        <w:left w:w="115" w:type="dxa"/>
        <w:bottom w:w="0" w:type="dxa"/>
        <w:right w:w="115" w:type="dxa"/>
      </w:tblCellMar>
    </w:tblPr>
    <w:tcPr/>
  </w:style>
  <w:style w:type="table" w:customStyle="1" w:styleId="style4115">
    <w:name w:val="Table5_0"/>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16">
    <w:name w:val="Table6_0"/>
    <w:basedOn w:val="style4099"/>
    <w:tblPr>
      <w:tblStyleRowBandSize w:val="1"/>
      <w:tblStyleColBandSize w:val="1"/>
      <w:tblCellMar>
        <w:top w:w="0" w:type="dxa"/>
        <w:left w:w="115" w:type="dxa"/>
        <w:bottom w:w="0" w:type="dxa"/>
        <w:right w:w="115" w:type="dxa"/>
      </w:tblCellMar>
    </w:tblPr>
    <w:tcPr/>
  </w:style>
  <w:style w:type="table" w:customStyle="1" w:styleId="style4117">
    <w:name w:val="Table7_0"/>
    <w:basedOn w:val="style4099"/>
    <w:tblPr>
      <w:tblStyleRowBandSize w:val="1"/>
      <w:tblStyleColBandSize w:val="1"/>
      <w:tblCellMar>
        <w:top w:w="0" w:type="dxa"/>
        <w:left w:w="115" w:type="dxa"/>
        <w:bottom w:w="0" w:type="dxa"/>
        <w:right w:w="115" w:type="dxa"/>
      </w:tblCellMar>
    </w:tblPr>
    <w:tcPr/>
  </w:style>
  <w:style w:type="table" w:customStyle="1" w:styleId="style4118">
    <w:name w:val="Table8_0"/>
    <w:basedOn w:val="style4099"/>
    <w:tblPr>
      <w:tblStyleRowBandSize w:val="1"/>
      <w:tblStyleColBandSize w:val="1"/>
      <w:tblCellMar>
        <w:top w:w="0" w:type="dxa"/>
        <w:left w:w="115" w:type="dxa"/>
        <w:bottom w:w="0" w:type="dxa"/>
        <w:right w:w="115" w:type="dxa"/>
      </w:tblCellMar>
    </w:tblPr>
    <w:tcPr/>
  </w:style>
  <w:style w:type="table" w:customStyle="1" w:styleId="style4119">
    <w:name w:val="Table9_0"/>
    <w:basedOn w:val="style4099"/>
    <w:tblPr>
      <w:tblStyleRowBandSize w:val="1"/>
      <w:tblStyleColBandSize w:val="1"/>
      <w:tblCellMar>
        <w:top w:w="0" w:type="dxa"/>
        <w:left w:w="115" w:type="dxa"/>
        <w:bottom w:w="0" w:type="dxa"/>
        <w:right w:w="115" w:type="dxa"/>
      </w:tblCellMar>
    </w:tblPr>
    <w:tcPr/>
  </w:style>
  <w:style w:type="table" w:customStyle="1" w:styleId="style4120">
    <w:name w:val="Table10_0"/>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 w:type="table" w:customStyle="1" w:styleId="style4121">
    <w:name w:val="Table11_0"/>
    <w:basedOn w:val="style4099"/>
    <w:pPr>
      <w:spacing w:line="240" w:lineRule="auto"/>
    </w:pPr>
    <w:rPr>
      <w:sz w:val="20"/>
      <w:szCs w:val="20"/>
    </w:rPr>
    <w:tblPr>
      <w:tblStyleRowBandSize w:val="1"/>
      <w:tblStyleColBandSize w:val="1"/>
      <w:tblCellMar>
        <w:top w:w="0" w:type="dxa"/>
        <w:left w:w="108" w:type="dxa"/>
        <w:bottom w:w="0" w:type="dxa"/>
        <w:right w:w="108" w:type="dxa"/>
      </w:tblCellMar>
    </w:tblPr>
    <w:tc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hyperlink" Target="mailto:support@dspfin.com" TargetMode="External"/>
</Relationships>
</file>

<file path=word/_rels/footer3.xml.rels><?xml version="1.0" encoding="UTF-8"?>
<Relationships xmlns="http://schemas.openxmlformats.org/package/2006/relationships"><Relationship Id="rId1" Type="http://schemas.openxmlformats.org/officeDocument/2006/relationships/hyperlink" Target="mailto:support@dspfin.com" TargetMode="Externa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DkFMp5OwjrQ0j1/Stx4Z9VWijdA==">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ages>5</Pages>
  <Words>3650</Words>
  <Characters>35708</Characters>
  <CharactersWithSpaces>39000</CharactersWithSpaces>
  <Paragraphs>651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2025-11-12T12:39:41Z</dcterms:created>
  <dc:creator>WPS Office</dc:creator>
  <dc:description/>
  <dc:language>en-IN</dc:language>
  <cp:lastModifiedBy>IN2011</cp:lastModifiedBy>
  <dcterms:modified xsi:type="dcterms:W3CDTF">2025-11-12T12:39:41Z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a88160fc2ded40a2aa6d0a32d46b758f</vt:lpwstr>
  </property>
</Properties>
</file>