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9B310" w14:textId="60471AFA" w:rsidR="007E493D" w:rsidRDefault="007E493D" w:rsidP="00CE3BE8">
      <w:pPr>
        <w:pStyle w:val="Heading1"/>
        <w:numPr>
          <w:ilvl w:val="0"/>
          <w:numId w:val="0"/>
        </w:numPr>
      </w:pPr>
      <w:bookmarkStart w:id="0" w:name="_Ref160625487"/>
      <w:bookmarkStart w:id="1" w:name="_Toc162272981"/>
      <w:r>
        <w:t xml:space="preserve">Autonomous Energy Management Software </w:t>
      </w:r>
      <w:r w:rsidR="003D5F1B">
        <w:t xml:space="preserve">(AEMS) </w:t>
      </w:r>
      <w:r>
        <w:t>System Configuration</w:t>
      </w:r>
      <w:bookmarkEnd w:id="0"/>
      <w:bookmarkEnd w:id="1"/>
      <w:r>
        <w:t xml:space="preserve"> </w:t>
      </w:r>
    </w:p>
    <w:p w14:paraId="47672EC0" w14:textId="09F97C80" w:rsidR="007E493D" w:rsidRDefault="007E493D" w:rsidP="007E493D">
      <w:pPr>
        <w:pStyle w:val="BodyText"/>
      </w:pPr>
      <w:r>
        <w:t xml:space="preserve">The AEMS system enables supervisory level controls for </w:t>
      </w:r>
      <w:r w:rsidR="00FE37DB">
        <w:t>rooftop units (</w:t>
      </w:r>
      <w:r>
        <w:t>RTU</w:t>
      </w:r>
      <w:r w:rsidR="00FE37DB">
        <w:t>s)</w:t>
      </w:r>
      <w:r>
        <w:t xml:space="preserve"> and enables </w:t>
      </w:r>
      <w:r w:rsidR="00FE37DB">
        <w:t>energy efficiency (</w:t>
      </w:r>
      <w:r>
        <w:t>EE</w:t>
      </w:r>
      <w:r w:rsidR="00FE37DB">
        <w:t>)</w:t>
      </w:r>
      <w:r>
        <w:t xml:space="preserve"> and </w:t>
      </w:r>
      <w:r w:rsidR="00FE37DB">
        <w:t xml:space="preserve">grid service </w:t>
      </w:r>
      <w:r>
        <w:t xml:space="preserve">control measures to save energy, improve occupant comfort, and give the building operator flexibility and visibility into each RTU’s operation. It enforces occupied and unoccupied setpoints and occupancy schedules configured in the AEMS web </w:t>
      </w:r>
      <w:r w:rsidR="003D5F1B">
        <w:t>user interface (</w:t>
      </w:r>
      <w:r>
        <w:t>UI</w:t>
      </w:r>
      <w:r w:rsidR="003D5F1B">
        <w:t>)</w:t>
      </w:r>
      <w:r>
        <w:t>. If an occupant of the space changes the temperature set</w:t>
      </w:r>
      <w:r w:rsidR="0057231E">
        <w:t xml:space="preserve"> </w:t>
      </w:r>
      <w:r>
        <w:t>points on the thermostat, those values will revert to the values set in the AEMS web UI. Similarly, the AEMS system will enforce the schedules entered in the AEMS web UI to determine the occupancy status for the RTU. If communication between VOLTTRON</w:t>
      </w:r>
      <w:r w:rsidR="00183EAB">
        <w:t>, the edge device running the AMES UI,</w:t>
      </w:r>
      <w:r>
        <w:t xml:space="preserve"> and the thermostat is lost, the thermostat will return to a standalone mode. In this mode, the local thermostat schedule is used to determine the occupancy state for the RTU, and the last set</w:t>
      </w:r>
      <w:r w:rsidR="00D06AEB">
        <w:t xml:space="preserve"> </w:t>
      </w:r>
      <w:r>
        <w:t>points communicated to the thermostat from the AEMS web UI will be used for tempering the space.</w:t>
      </w:r>
    </w:p>
    <w:p w14:paraId="5C794F98" w14:textId="7CC94B41" w:rsidR="00B441AA" w:rsidRDefault="007E493D" w:rsidP="007E493D">
      <w:pPr>
        <w:pStyle w:val="BodyText"/>
      </w:pPr>
      <w:r>
        <w:t>The following sections detail the steps for configuring the RTU control using the AEMS web UI (user interface). To use the AEMS software, open a browser and</w:t>
      </w:r>
      <w:r w:rsidR="00B441AA">
        <w:t xml:space="preserve"> enter the following URL </w:t>
      </w:r>
      <w:hyperlink r:id="rId8" w:history="1">
        <w:r w:rsidR="00B441AA" w:rsidRPr="00726B66">
          <w:rPr>
            <w:rStyle w:val="Hyperlink"/>
          </w:rPr>
          <w:t>http://63.42.166.97</w:t>
        </w:r>
      </w:hyperlink>
      <w:r w:rsidR="00B441AA">
        <w:t xml:space="preserve"> </w:t>
      </w:r>
      <w:r w:rsidR="00B441AA" w:rsidRPr="00B441AA">
        <w:rPr>
          <w:b/>
          <w:bCs/>
        </w:rPr>
        <w:t>[NOTE:  The following image contain a different URL, each URL is unique to the specific site]</w:t>
      </w:r>
      <w:r w:rsidR="00B441AA">
        <w:t>. This will take you to the custom “Welcome page”.  Next, select “Log In”.</w:t>
      </w:r>
      <w:r w:rsidR="00B441AA" w:rsidRPr="00B441AA">
        <w:t xml:space="preserve"> </w:t>
      </w:r>
    </w:p>
    <w:p w14:paraId="34EF5DE0" w14:textId="78120EDE" w:rsidR="007E493D" w:rsidRDefault="007E493D" w:rsidP="007E493D">
      <w:pPr>
        <w:pStyle w:val="BodyText"/>
      </w:pPr>
      <w:r>
        <w:t>In the “Log In” prompt (</w:t>
      </w:r>
      <w:r>
        <w:fldChar w:fldCharType="begin"/>
      </w:r>
      <w:r>
        <w:instrText xml:space="preserve"> REF _Ref160023913 \h </w:instrText>
      </w:r>
      <w:r>
        <w:fldChar w:fldCharType="separate"/>
      </w:r>
      <w:r w:rsidR="00041BBF">
        <w:t xml:space="preserve">Figure </w:t>
      </w:r>
      <w:r w:rsidR="00041BBF">
        <w:rPr>
          <w:noProof/>
        </w:rPr>
        <w:t>1</w:t>
      </w:r>
      <w:r>
        <w:fldChar w:fldCharType="end"/>
      </w:r>
      <w:r>
        <w:t xml:space="preserve">), enter the </w:t>
      </w:r>
      <w:r w:rsidR="00B441AA">
        <w:t>‘Admin’</w:t>
      </w:r>
      <w:r w:rsidRPr="00447DE7">
        <w:t xml:space="preserve"> and password</w:t>
      </w:r>
      <w:r>
        <w:t xml:space="preserve"> </w:t>
      </w:r>
      <w:r w:rsidR="00B441AA">
        <w:t xml:space="preserve">‘TDDC’.  </w:t>
      </w:r>
      <w:r>
        <w:t xml:space="preserve">Currently, </w:t>
      </w:r>
      <w:r w:rsidR="00B441AA">
        <w:t>‘</w:t>
      </w:r>
      <w:r>
        <w:t xml:space="preserve">User’ and ‘Administrative’ accounts are available within the </w:t>
      </w:r>
      <w:r w:rsidR="00600E61">
        <w:t>AEMS,</w:t>
      </w:r>
      <w:r>
        <w:t xml:space="preserve"> but they effectively have identical privileges. Software updates are underway to enable a ‘User’ level account that would have limited feature sets (e.g., only the ability to create temporary occupancy overrides).</w:t>
      </w:r>
    </w:p>
    <w:p w14:paraId="5DF1242E" w14:textId="77777777" w:rsidR="007E493D" w:rsidRDefault="007E493D" w:rsidP="007E493D">
      <w:pPr>
        <w:pStyle w:val="Figure"/>
      </w:pPr>
      <w:r>
        <w:rPr>
          <w:noProof/>
        </w:rPr>
        <w:drawing>
          <wp:inline distT="0" distB="0" distL="0" distR="0" wp14:anchorId="49CD6B9E" wp14:editId="68A65F7E">
            <wp:extent cx="4355123" cy="263726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7999" cy="2639011"/>
                    </a:xfrm>
                    <a:prstGeom prst="rect">
                      <a:avLst/>
                    </a:prstGeom>
                  </pic:spPr>
                </pic:pic>
              </a:graphicData>
            </a:graphic>
          </wp:inline>
        </w:drawing>
      </w:r>
    </w:p>
    <w:p w14:paraId="0705CF55" w14:textId="7BADDBFC" w:rsidR="007E493D" w:rsidRDefault="007E493D" w:rsidP="007E493D">
      <w:pPr>
        <w:pStyle w:val="Caption-Fig"/>
        <w:ind w:left="1109" w:hanging="1109"/>
        <w:jc w:val="center"/>
      </w:pPr>
      <w:bookmarkStart w:id="2" w:name="_Ref160023913"/>
      <w:bookmarkStart w:id="3" w:name="_Toc162273014"/>
      <w:r>
        <w:t xml:space="preserve">Figure </w:t>
      </w:r>
      <w:r>
        <w:fldChar w:fldCharType="begin"/>
      </w:r>
      <w:r>
        <w:instrText xml:space="preserve"> SEQ Figure \* ARABIC </w:instrText>
      </w:r>
      <w:r>
        <w:fldChar w:fldCharType="separate"/>
      </w:r>
      <w:r w:rsidR="00041BBF">
        <w:rPr>
          <w:noProof/>
        </w:rPr>
        <w:t>1</w:t>
      </w:r>
      <w:r>
        <w:rPr>
          <w:noProof/>
        </w:rPr>
        <w:fldChar w:fldCharType="end"/>
      </w:r>
      <w:bookmarkEnd w:id="2"/>
      <w:r>
        <w:t>.</w:t>
      </w:r>
      <w:r w:rsidR="008C6DCB">
        <w:t xml:space="preserve"> </w:t>
      </w:r>
      <w:r>
        <w:t>AEMS web interface – “Log In” page.</w:t>
      </w:r>
      <w:bookmarkEnd w:id="3"/>
    </w:p>
    <w:p w14:paraId="04EFA276" w14:textId="07CCB343" w:rsidR="007E493D" w:rsidRDefault="007E493D" w:rsidP="007E493D">
      <w:pPr>
        <w:pStyle w:val="BodyText"/>
      </w:pPr>
      <w:r>
        <w:t xml:space="preserve">Next, click “Units” in the upper right corner of the browser to view the </w:t>
      </w:r>
      <w:r w:rsidRPr="00AE6A3B">
        <w:t>RTUs that can be managed</w:t>
      </w:r>
      <w:r w:rsidR="00B441AA">
        <w:t xml:space="preserve"> </w:t>
      </w:r>
      <w:r>
        <w:t>from the AEMS (</w:t>
      </w:r>
      <w:r>
        <w:fldChar w:fldCharType="begin"/>
      </w:r>
      <w:r>
        <w:instrText xml:space="preserve"> REF _Ref160024622 \h </w:instrText>
      </w:r>
      <w:r>
        <w:fldChar w:fldCharType="separate"/>
      </w:r>
      <w:r w:rsidR="00041BBF">
        <w:t xml:space="preserve">Figure </w:t>
      </w:r>
      <w:r w:rsidR="00041BBF">
        <w:rPr>
          <w:noProof/>
        </w:rPr>
        <w:t>2</w:t>
      </w:r>
      <w:r>
        <w:fldChar w:fldCharType="end"/>
      </w:r>
      <w:r>
        <w:t xml:space="preserve">): </w:t>
      </w:r>
    </w:p>
    <w:p w14:paraId="78382D47" w14:textId="77777777" w:rsidR="007E493D" w:rsidRDefault="007E493D" w:rsidP="007E493D">
      <w:pPr>
        <w:pStyle w:val="Figure"/>
      </w:pPr>
      <w:r>
        <w:rPr>
          <w:noProof/>
        </w:rPr>
        <w:lastRenderedPageBreak/>
        <w:drawing>
          <wp:inline distT="0" distB="0" distL="0" distR="0" wp14:anchorId="51AA4F78" wp14:editId="0DB7A19D">
            <wp:extent cx="5943600" cy="2120900"/>
            <wp:effectExtent l="19050" t="19050" r="1905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756"/>
                    <a:stretch/>
                  </pic:blipFill>
                  <pic:spPr bwMode="auto">
                    <a:xfrm>
                      <a:off x="0" y="0"/>
                      <a:ext cx="5943600" cy="2120900"/>
                    </a:xfrm>
                    <a:prstGeom prst="rect">
                      <a:avLst/>
                    </a:prstGeom>
                    <a:ln w="6350">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E2E07A3" w14:textId="4B66AC3A" w:rsidR="007E493D" w:rsidRDefault="007E493D" w:rsidP="007E493D">
      <w:pPr>
        <w:pStyle w:val="Caption-Fig"/>
        <w:ind w:left="1109" w:hanging="1109"/>
        <w:jc w:val="center"/>
      </w:pPr>
      <w:bookmarkStart w:id="4" w:name="_Ref160024622"/>
      <w:bookmarkStart w:id="5" w:name="_Toc162273015"/>
      <w:r>
        <w:t xml:space="preserve">Figure </w:t>
      </w:r>
      <w:r>
        <w:fldChar w:fldCharType="begin"/>
      </w:r>
      <w:r>
        <w:instrText xml:space="preserve"> SEQ Figure \* ARABIC </w:instrText>
      </w:r>
      <w:r>
        <w:fldChar w:fldCharType="separate"/>
      </w:r>
      <w:r w:rsidR="00041BBF">
        <w:rPr>
          <w:noProof/>
        </w:rPr>
        <w:t>2</w:t>
      </w:r>
      <w:r>
        <w:rPr>
          <w:noProof/>
        </w:rPr>
        <w:fldChar w:fldCharType="end"/>
      </w:r>
      <w:bookmarkEnd w:id="4"/>
      <w:r>
        <w:t>.</w:t>
      </w:r>
      <w:r w:rsidR="008C6DCB">
        <w:t xml:space="preserve"> </w:t>
      </w:r>
      <w:r>
        <w:t>AEMS web interface – “Units” page.</w:t>
      </w:r>
      <w:bookmarkEnd w:id="5"/>
    </w:p>
    <w:p w14:paraId="66E7C204" w14:textId="2B3B942D" w:rsidR="007E493D" w:rsidRDefault="007E493D" w:rsidP="007E493D">
      <w:pPr>
        <w:pStyle w:val="BodyText"/>
        <w:keepNext/>
      </w:pPr>
      <w:r>
        <w:t>Click the edit button next to the green check box to access the AEMS Energy Efficiency sub-menus for the RTU. In this example, we have selected the PNNL ROB SCHNEIDER, RTU (</w:t>
      </w:r>
      <w:r>
        <w:fldChar w:fldCharType="begin"/>
      </w:r>
      <w:r>
        <w:instrText xml:space="preserve"> REF _Ref160025128 \h </w:instrText>
      </w:r>
      <w:r>
        <w:fldChar w:fldCharType="separate"/>
      </w:r>
      <w:r w:rsidR="00041BBF">
        <w:t xml:space="preserve">Figure </w:t>
      </w:r>
      <w:r w:rsidR="00041BBF">
        <w:rPr>
          <w:noProof/>
        </w:rPr>
        <w:t>3</w:t>
      </w:r>
      <w:r>
        <w:fldChar w:fldCharType="end"/>
      </w:r>
      <w:r>
        <w:t xml:space="preserve">). </w:t>
      </w:r>
    </w:p>
    <w:p w14:paraId="640B106E" w14:textId="77777777" w:rsidR="007E493D" w:rsidRDefault="007E493D" w:rsidP="007E493D">
      <w:pPr>
        <w:pStyle w:val="Figure"/>
      </w:pPr>
      <w:r>
        <w:rPr>
          <w:noProof/>
        </w:rPr>
        <w:drawing>
          <wp:inline distT="0" distB="0" distL="0" distR="0" wp14:anchorId="58BFB08B" wp14:editId="4CE49A4A">
            <wp:extent cx="5943600" cy="3380105"/>
            <wp:effectExtent l="19050" t="19050" r="1905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0105"/>
                    </a:xfrm>
                    <a:prstGeom prst="rect">
                      <a:avLst/>
                    </a:prstGeom>
                    <a:ln w="6350">
                      <a:solidFill>
                        <a:schemeClr val="bg1">
                          <a:lumMod val="65000"/>
                        </a:schemeClr>
                      </a:solidFill>
                    </a:ln>
                  </pic:spPr>
                </pic:pic>
              </a:graphicData>
            </a:graphic>
          </wp:inline>
        </w:drawing>
      </w:r>
    </w:p>
    <w:p w14:paraId="17824B44" w14:textId="49DF9FB5" w:rsidR="007E493D" w:rsidRDefault="007E493D" w:rsidP="007E493D">
      <w:pPr>
        <w:pStyle w:val="Caption-Fig"/>
        <w:ind w:left="1109" w:hanging="1109"/>
        <w:jc w:val="center"/>
      </w:pPr>
      <w:bookmarkStart w:id="6" w:name="_Ref160025128"/>
      <w:bookmarkStart w:id="7" w:name="_Toc162273016"/>
      <w:r>
        <w:t xml:space="preserve">Figure </w:t>
      </w:r>
      <w:r>
        <w:fldChar w:fldCharType="begin"/>
      </w:r>
      <w:r>
        <w:instrText xml:space="preserve"> SEQ Figure \* ARABIC </w:instrText>
      </w:r>
      <w:r>
        <w:fldChar w:fldCharType="separate"/>
      </w:r>
      <w:r w:rsidR="00041BBF">
        <w:rPr>
          <w:noProof/>
        </w:rPr>
        <w:t>3</w:t>
      </w:r>
      <w:r>
        <w:rPr>
          <w:noProof/>
        </w:rPr>
        <w:fldChar w:fldCharType="end"/>
      </w:r>
      <w:bookmarkEnd w:id="6"/>
      <w:r>
        <w:t>.</w:t>
      </w:r>
      <w:r w:rsidR="008C6DCB">
        <w:t xml:space="preserve"> </w:t>
      </w:r>
      <w:r>
        <w:t>AEMS web interface – RTU (Schneider thermostat) configuration.</w:t>
      </w:r>
      <w:bookmarkEnd w:id="7"/>
    </w:p>
    <w:p w14:paraId="7C8E3A7A" w14:textId="77777777" w:rsidR="007E493D" w:rsidRDefault="007E493D" w:rsidP="007E493D">
      <w:pPr>
        <w:pStyle w:val="Heading2"/>
      </w:pPr>
      <w:bookmarkStart w:id="8" w:name="_Toc160629670"/>
      <w:bookmarkStart w:id="9" w:name="_Toc162272982"/>
      <w:r>
        <w:lastRenderedPageBreak/>
        <w:t>Energy Efficiency Features Configuration</w:t>
      </w:r>
      <w:bookmarkEnd w:id="8"/>
      <w:bookmarkEnd w:id="9"/>
    </w:p>
    <w:p w14:paraId="77666529" w14:textId="77777777" w:rsidR="007E493D" w:rsidRPr="00035951" w:rsidRDefault="007E493D" w:rsidP="007E493D">
      <w:pPr>
        <w:pStyle w:val="BodyText"/>
        <w:keepNext/>
        <w:keepLines/>
        <w:rPr>
          <w:rFonts w:eastAsiaTheme="minorEastAsia" w:cstheme="minorBidi"/>
        </w:rPr>
      </w:pPr>
      <w:r>
        <w:t xml:space="preserve">The AEMS </w:t>
      </w:r>
      <w:r w:rsidRPr="00503F21">
        <w:t>system</w:t>
      </w:r>
      <w:r>
        <w:t xml:space="preserve">’s EE features allow users to configure occupied and unoccupied setpoints, schedules, holiday schedules, temporary occupancy overrides, optimal start, and other miscellaneous parameters. This section describes how to configure these EE features in the AEMS web UI. </w:t>
      </w:r>
    </w:p>
    <w:p w14:paraId="2E43C610" w14:textId="77777777" w:rsidR="007E493D" w:rsidRDefault="007E493D" w:rsidP="007E493D">
      <w:pPr>
        <w:pStyle w:val="Heading3"/>
      </w:pPr>
      <w:bookmarkStart w:id="10" w:name="_Toc160629671"/>
      <w:bookmarkStart w:id="11" w:name="_Toc162272983"/>
      <w:r>
        <w:t>Setpoint Manager</w:t>
      </w:r>
      <w:bookmarkEnd w:id="10"/>
      <w:bookmarkEnd w:id="11"/>
      <w:r>
        <w:t xml:space="preserve"> </w:t>
      </w:r>
    </w:p>
    <w:p w14:paraId="79122A80" w14:textId="42647DDE" w:rsidR="007E493D" w:rsidRDefault="007E493D" w:rsidP="007E493D">
      <w:pPr>
        <w:pStyle w:val="BodyText"/>
        <w:keepNext/>
        <w:keepLines/>
      </w:pPr>
      <w:r>
        <w:t>The AEMS system allows users to configure the desired occupied period setpoint for each RTU using an intuitive and easy-to-understand interface (</w:t>
      </w:r>
      <w:r>
        <w:fldChar w:fldCharType="begin"/>
      </w:r>
      <w:r>
        <w:instrText xml:space="preserve"> REF _Ref160006996 \h </w:instrText>
      </w:r>
      <w:r>
        <w:fldChar w:fldCharType="separate"/>
      </w:r>
      <w:r w:rsidR="00041BBF">
        <w:t xml:space="preserve">Figure </w:t>
      </w:r>
      <w:r w:rsidR="00041BBF">
        <w:rPr>
          <w:noProof/>
        </w:rPr>
        <w:t>4</w:t>
      </w:r>
      <w:r>
        <w:fldChar w:fldCharType="end"/>
      </w:r>
      <w:r>
        <w:t xml:space="preserve">). </w:t>
      </w:r>
    </w:p>
    <w:p w14:paraId="48F576C5" w14:textId="77777777" w:rsidR="007E493D" w:rsidRDefault="007E493D" w:rsidP="007E493D">
      <w:pPr>
        <w:pStyle w:val="Figure"/>
      </w:pPr>
      <w:r>
        <w:rPr>
          <w:noProof/>
        </w:rPr>
        <mc:AlternateContent>
          <mc:Choice Requires="wps">
            <w:drawing>
              <wp:anchor distT="0" distB="0" distL="114300" distR="114300" simplePos="0" relativeHeight="251658240" behindDoc="0" locked="0" layoutInCell="1" allowOverlap="1" wp14:anchorId="78FFE1E5" wp14:editId="0B8A064E">
                <wp:simplePos x="0" y="0"/>
                <wp:positionH relativeFrom="column">
                  <wp:posOffset>103204</wp:posOffset>
                </wp:positionH>
                <wp:positionV relativeFrom="paragraph">
                  <wp:posOffset>1831975</wp:posOffset>
                </wp:positionV>
                <wp:extent cx="2796540" cy="144780"/>
                <wp:effectExtent l="57150" t="19050" r="80010" b="102870"/>
                <wp:wrapNone/>
                <wp:docPr id="4" name="Rectangle 4"/>
                <wp:cNvGraphicFramePr/>
                <a:graphic xmlns:a="http://schemas.openxmlformats.org/drawingml/2006/main">
                  <a:graphicData uri="http://schemas.microsoft.com/office/word/2010/wordprocessingShape">
                    <wps:wsp>
                      <wps:cNvSpPr/>
                      <wps:spPr>
                        <a:xfrm>
                          <a:off x="0" y="0"/>
                          <a:ext cx="2796540" cy="144780"/>
                        </a:xfrm>
                        <a:prstGeom prst="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w16du="http://schemas.microsoft.com/office/word/2023/wordml/word16du">
            <w:pict>
              <v:rect w14:anchorId="086EAFA3" id="Rectangle 4" o:spid="_x0000_s1026" style="position:absolute;margin-left:8.15pt;margin-top:144.25pt;width:220.2pt;height:11.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" filled="f" strokecolor="#4472c4 [3204]" strokeweight="1.5pt"/>
            </w:pict>
          </mc:Fallback>
        </mc:AlternateContent>
      </w:r>
      <w:r>
        <w:rPr>
          <w:noProof/>
        </w:rPr>
        <w:drawing>
          <wp:inline distT="0" distB="0" distL="0" distR="0" wp14:anchorId="49209868" wp14:editId="02839EDC">
            <wp:extent cx="5943600" cy="3781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81425"/>
                    </a:xfrm>
                    <a:prstGeom prst="rect">
                      <a:avLst/>
                    </a:prstGeom>
                  </pic:spPr>
                </pic:pic>
              </a:graphicData>
            </a:graphic>
          </wp:inline>
        </w:drawing>
      </w:r>
    </w:p>
    <w:p w14:paraId="0BDA5097" w14:textId="4CD4C4B8" w:rsidR="007E493D" w:rsidRDefault="007E493D" w:rsidP="007E493D">
      <w:pPr>
        <w:pStyle w:val="Caption-Fig"/>
        <w:ind w:left="1109" w:hanging="1109"/>
        <w:jc w:val="center"/>
      </w:pPr>
      <w:bookmarkStart w:id="12" w:name="_Ref160006996"/>
      <w:bookmarkStart w:id="13" w:name="_Toc162273017"/>
      <w:r>
        <w:t xml:space="preserve">Figure </w:t>
      </w:r>
      <w:r>
        <w:fldChar w:fldCharType="begin"/>
      </w:r>
      <w:r>
        <w:instrText xml:space="preserve"> SEQ Figure \* ARABIC </w:instrText>
      </w:r>
      <w:r>
        <w:fldChar w:fldCharType="separate"/>
      </w:r>
      <w:r w:rsidR="00041BBF">
        <w:rPr>
          <w:noProof/>
        </w:rPr>
        <w:t>4</w:t>
      </w:r>
      <w:r>
        <w:rPr>
          <w:noProof/>
        </w:rPr>
        <w:fldChar w:fldCharType="end"/>
      </w:r>
      <w:bookmarkEnd w:id="12"/>
      <w:r>
        <w:t>.</w:t>
      </w:r>
      <w:r w:rsidR="008C6DCB">
        <w:t xml:space="preserve"> </w:t>
      </w:r>
      <w:r>
        <w:t>AEMS web interface - setpoint manager.</w:t>
      </w:r>
      <w:bookmarkEnd w:id="13"/>
    </w:p>
    <w:p w14:paraId="51526F58" w14:textId="77777777" w:rsidR="007E493D" w:rsidRDefault="007E493D" w:rsidP="007E493D">
      <w:pPr>
        <w:pStyle w:val="BodyText"/>
      </w:pPr>
      <w:r>
        <w:t>In the figure, the desired occupied setpoint is set at 75</w:t>
      </w:r>
      <w:r>
        <w:rPr>
          <w:rFonts w:cstheme="minorHAnsi"/>
        </w:rPr>
        <w:t>°</w:t>
      </w:r>
      <w:r>
        <w:t>F, with a 4</w:t>
      </w:r>
      <w:r>
        <w:rPr>
          <w:rFonts w:cstheme="minorHAnsi"/>
        </w:rPr>
        <w:t>°</w:t>
      </w:r>
      <w:r>
        <w:t>F dead band, resulting in an occupied heating setpoint of 73</w:t>
      </w:r>
      <w:r>
        <w:rPr>
          <w:rFonts w:cstheme="minorHAnsi"/>
        </w:rPr>
        <w:t>°</w:t>
      </w:r>
      <w:r>
        <w:t>F and an occupied cooling setpoint of 77</w:t>
      </w:r>
      <w:r>
        <w:rPr>
          <w:rFonts w:cstheme="minorHAnsi"/>
        </w:rPr>
        <w:t>°</w:t>
      </w:r>
      <w:r>
        <w:t>F. The AEMS system will ensure that the dead band is at least 2</w:t>
      </w:r>
      <w:r>
        <w:rPr>
          <w:rFonts w:cstheme="minorHAnsi"/>
        </w:rPr>
        <w:t>°</w:t>
      </w:r>
      <w:r>
        <w:t>F and no more than 6</w:t>
      </w:r>
      <w:r>
        <w:rPr>
          <w:rFonts w:cstheme="minorHAnsi"/>
        </w:rPr>
        <w:t>°</w:t>
      </w:r>
      <w:r>
        <w:t>F. The user can change the desired occupied period setpoint and dead band in 0.5</w:t>
      </w:r>
      <w:r>
        <w:rPr>
          <w:rFonts w:cstheme="minorHAnsi"/>
        </w:rPr>
        <w:t>°</w:t>
      </w:r>
      <w:r>
        <w:t>F resolution.</w:t>
      </w:r>
    </w:p>
    <w:p w14:paraId="62866F8A" w14:textId="77777777" w:rsidR="007E493D" w:rsidRDefault="007E493D" w:rsidP="007E493D">
      <w:pPr>
        <w:pStyle w:val="BodyText"/>
      </w:pPr>
      <w:r>
        <w:t xml:space="preserve">The AEMS system allows the user to configure the desired unoccupied period temperature </w:t>
      </w:r>
      <w:r w:rsidRPr="00C559E2">
        <w:t>setpoints for each RTU. The user can change the unoccupied period setpoints in 0.5</w:t>
      </w:r>
      <w:r w:rsidRPr="00C559E2">
        <w:rPr>
          <w:rFonts w:cstheme="minorHAnsi"/>
        </w:rPr>
        <w:t>°</w:t>
      </w:r>
      <w:r w:rsidRPr="00C559E2">
        <w:t>F resolution. If the user selects a value for unoccupied period heating setpoint that is not at least 5</w:t>
      </w:r>
      <w:r w:rsidRPr="00C559E2">
        <w:rPr>
          <w:rFonts w:cstheme="minorHAnsi"/>
        </w:rPr>
        <w:t>⁰</w:t>
      </w:r>
      <w:r w:rsidRPr="00C559E2">
        <w:t>F lower than the desired occupied temperature setpoint, the AEMS system warns the user. Similarly, if the user selects an unoccupied period cooling setpoint value that is not at least 5</w:t>
      </w:r>
      <w:r w:rsidRPr="00C559E2">
        <w:rPr>
          <w:rFonts w:cstheme="minorHAnsi"/>
        </w:rPr>
        <w:t>°</w:t>
      </w:r>
      <w:r w:rsidRPr="00C559E2">
        <w:t>F higher than the desired temperature setpoint, the AEMS system will provide a warning. The AEMS system allows the user to configure the</w:t>
      </w:r>
      <w:r>
        <w:t xml:space="preserve"> unoccupied heating setpoint as low as 55</w:t>
      </w:r>
      <w:r>
        <w:rPr>
          <w:rFonts w:cstheme="minorHAnsi"/>
        </w:rPr>
        <w:t>°</w:t>
      </w:r>
      <w:r>
        <w:t>F, and the unoccupied heating setpoint must be at least 2</w:t>
      </w:r>
      <w:r>
        <w:rPr>
          <w:rFonts w:cstheme="minorHAnsi"/>
        </w:rPr>
        <w:t>°</w:t>
      </w:r>
      <w:r>
        <w:t xml:space="preserve">F lower than the </w:t>
      </w:r>
      <w:r>
        <w:lastRenderedPageBreak/>
        <w:t>occupied heating setpoint. Similarly, the AEMS system allows a user to configure the unoccupied cooling setpoint to as high as 80</w:t>
      </w:r>
      <w:r>
        <w:rPr>
          <w:rFonts w:cstheme="minorHAnsi"/>
        </w:rPr>
        <w:t>°</w:t>
      </w:r>
      <w:r>
        <w:t>F, and the unoccupied cooling setpoint must be at least 2</w:t>
      </w:r>
      <w:r>
        <w:rPr>
          <w:rFonts w:cstheme="minorHAnsi"/>
        </w:rPr>
        <w:t>°</w:t>
      </w:r>
      <w:r>
        <w:t>F higher than the occupied cooling setpoint.</w:t>
      </w:r>
    </w:p>
    <w:p w14:paraId="5A71E28A" w14:textId="39081B29" w:rsidR="007E493D" w:rsidRDefault="007E493D" w:rsidP="007E493D">
      <w:pPr>
        <w:pStyle w:val="BodyText"/>
      </w:pPr>
      <w:r>
        <w:t xml:space="preserve">To enable the control changes, the user must click the save icon in the right corner of </w:t>
      </w:r>
      <w:r>
        <w:fldChar w:fldCharType="begin"/>
      </w:r>
      <w:r>
        <w:instrText xml:space="preserve"> REF _Ref160006996 \h </w:instrText>
      </w:r>
      <w:r>
        <w:fldChar w:fldCharType="separate"/>
      </w:r>
      <w:r w:rsidR="00041BBF">
        <w:t xml:space="preserve">Figure </w:t>
      </w:r>
      <w:r w:rsidR="00041BBF">
        <w:rPr>
          <w:noProof/>
        </w:rPr>
        <w:t>4</w:t>
      </w:r>
      <w:r>
        <w:fldChar w:fldCharType="end"/>
      </w:r>
      <w:r>
        <w:t>. A green check mark indicates that the changes were successfully communicated to the thermostat.</w:t>
      </w:r>
    </w:p>
    <w:p w14:paraId="5E0CA711" w14:textId="77777777" w:rsidR="007E493D" w:rsidRDefault="007E493D" w:rsidP="007E493D">
      <w:pPr>
        <w:pStyle w:val="Heading3"/>
      </w:pPr>
      <w:bookmarkStart w:id="14" w:name="_Toc162272984"/>
      <w:r>
        <w:t>Schedule Manager</w:t>
      </w:r>
      <w:bookmarkEnd w:id="14"/>
    </w:p>
    <w:p w14:paraId="26721656" w14:textId="2496CEFD" w:rsidR="007E493D" w:rsidRDefault="007E493D" w:rsidP="007E493D">
      <w:pPr>
        <w:pStyle w:val="BodyText"/>
        <w:keepNext/>
        <w:keepLines/>
      </w:pPr>
      <w:r>
        <w:t>The AEMS system allows the user to configure desired schedules for each RTU using an intuitive and easy to understand interface (</w:t>
      </w:r>
      <w:r>
        <w:fldChar w:fldCharType="begin"/>
      </w:r>
      <w:r>
        <w:instrText xml:space="preserve"> REF _Ref160008228 \h </w:instrText>
      </w:r>
      <w:r>
        <w:fldChar w:fldCharType="separate"/>
      </w:r>
      <w:r w:rsidR="00041BBF">
        <w:t xml:space="preserve">Figure </w:t>
      </w:r>
      <w:r w:rsidR="00041BBF">
        <w:rPr>
          <w:noProof/>
        </w:rPr>
        <w:t>5</w:t>
      </w:r>
      <w:r>
        <w:fldChar w:fldCharType="end"/>
      </w:r>
      <w:r>
        <w:t>). Since optimal start will be employed to ensure spaces are at the occupied setpoint at the start of the occupancy period, users should ensure that the start time is set to the actual time that the building/zone occupancy begins.</w:t>
      </w:r>
    </w:p>
    <w:p w14:paraId="01CFAEF2" w14:textId="77777777" w:rsidR="007E493D" w:rsidRDefault="007E493D" w:rsidP="007E493D">
      <w:pPr>
        <w:pStyle w:val="Figure"/>
      </w:pPr>
      <w:r>
        <w:rPr>
          <w:noProof/>
        </w:rPr>
        <w:drawing>
          <wp:inline distT="0" distB="0" distL="0" distR="0" wp14:anchorId="0E71FF91" wp14:editId="46662682">
            <wp:extent cx="4840605" cy="4352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6068" cy="4375304"/>
                    </a:xfrm>
                    <a:prstGeom prst="rect">
                      <a:avLst/>
                    </a:prstGeom>
                  </pic:spPr>
                </pic:pic>
              </a:graphicData>
            </a:graphic>
          </wp:inline>
        </w:drawing>
      </w:r>
      <w:r>
        <w:rPr>
          <w:noProof/>
        </w:rPr>
        <w:t xml:space="preserve"> </w:t>
      </w:r>
    </w:p>
    <w:p w14:paraId="17773B41" w14:textId="08821E9E" w:rsidR="007E493D" w:rsidRDefault="007E493D" w:rsidP="007E493D">
      <w:pPr>
        <w:pStyle w:val="Caption-Fig"/>
        <w:ind w:left="1109" w:hanging="1109"/>
        <w:jc w:val="center"/>
      </w:pPr>
      <w:bookmarkStart w:id="15" w:name="_Ref160008228"/>
      <w:bookmarkStart w:id="16" w:name="_Toc162273018"/>
      <w:r>
        <w:t xml:space="preserve">Figure </w:t>
      </w:r>
      <w:r>
        <w:fldChar w:fldCharType="begin"/>
      </w:r>
      <w:r>
        <w:instrText xml:space="preserve"> SEQ Figure \* ARABIC </w:instrText>
      </w:r>
      <w:r>
        <w:fldChar w:fldCharType="separate"/>
      </w:r>
      <w:r w:rsidR="00041BBF">
        <w:rPr>
          <w:noProof/>
        </w:rPr>
        <w:t>5</w:t>
      </w:r>
      <w:r>
        <w:rPr>
          <w:noProof/>
        </w:rPr>
        <w:fldChar w:fldCharType="end"/>
      </w:r>
      <w:bookmarkEnd w:id="15"/>
      <w:r>
        <w:t>: AEMS web interface – schedule manager.</w:t>
      </w:r>
      <w:bookmarkEnd w:id="16"/>
      <w:r>
        <w:t xml:space="preserve"> </w:t>
      </w:r>
    </w:p>
    <w:p w14:paraId="5428EF13" w14:textId="6E359C6B" w:rsidR="007E493D" w:rsidRPr="00E04973" w:rsidRDefault="007E493D" w:rsidP="007E493D">
      <w:pPr>
        <w:pStyle w:val="BodyText"/>
      </w:pPr>
      <w:r>
        <w:t xml:space="preserve">The AEMS system allows the user to set schedules for each day of the week. Using the schedule information, the AEMS system will dynamically change the setpoint of each RTU to the value that is appropriate based on the occupancy status and other relevant information. During the occupied period, the RTU will be configured to use occupied setpoints. During unoccupied periods, the RTU will use the setback setpoints. The user can set the schedules with 15-minute resolution. </w:t>
      </w:r>
      <w:r>
        <w:fldChar w:fldCharType="begin"/>
      </w:r>
      <w:r>
        <w:instrText xml:space="preserve"> REF _Ref160008228 \h </w:instrText>
      </w:r>
      <w:r>
        <w:fldChar w:fldCharType="separate"/>
      </w:r>
      <w:r w:rsidR="00041BBF">
        <w:t xml:space="preserve">Figure </w:t>
      </w:r>
      <w:r w:rsidR="00041BBF">
        <w:rPr>
          <w:noProof/>
        </w:rPr>
        <w:t>5</w:t>
      </w:r>
      <w:r>
        <w:fldChar w:fldCharType="end"/>
      </w:r>
      <w:r>
        <w:t xml:space="preserve"> shows an RTU that </w:t>
      </w:r>
      <w:r>
        <w:lastRenderedPageBreak/>
        <w:t>is configured to be unoccupied on Monday and Sunday, occupied from 6:30 a.m. to 6:00 p.m. Tuesday through Friday, and occupied from 8:00 a.m. to 4:00 p.m. on Saturday.</w:t>
      </w:r>
    </w:p>
    <w:p w14:paraId="4168A12A" w14:textId="77777777" w:rsidR="007E493D" w:rsidRDefault="007E493D" w:rsidP="007E493D">
      <w:pPr>
        <w:pStyle w:val="Heading3"/>
      </w:pPr>
      <w:bookmarkStart w:id="17" w:name="_Toc162272985"/>
      <w:r>
        <w:t>Temporary Schedule Manager</w:t>
      </w:r>
      <w:bookmarkEnd w:id="17"/>
    </w:p>
    <w:p w14:paraId="65FBAC5C" w14:textId="77777777" w:rsidR="007E493D" w:rsidRDefault="007E493D" w:rsidP="007E493D">
      <w:pPr>
        <w:pStyle w:val="BodyText"/>
        <w:keepLines/>
      </w:pPr>
      <w:r>
        <w:t xml:space="preserve">The AEMS system allows users to set temporary occupancy schedules. During periods that are typically unoccupied (i.e., weekends, early mornings, or late evenings), the RTU can be configured to temporarily operate in an occupied mode (i.e., condition the space to maintain the occupied desired temperature setpoint). </w:t>
      </w:r>
    </w:p>
    <w:p w14:paraId="0310390A" w14:textId="7AA0EB19" w:rsidR="007E493D" w:rsidRDefault="007E493D" w:rsidP="007E493D">
      <w:pPr>
        <w:pStyle w:val="BodyText"/>
      </w:pPr>
      <w:r>
        <w:t>To create a temporary occupancy override, first select the date by clicking the calendar object (</w:t>
      </w:r>
      <w:r>
        <w:fldChar w:fldCharType="begin"/>
      </w:r>
      <w:r>
        <w:instrText xml:space="preserve"> REF _Ref160015734 \h </w:instrText>
      </w:r>
      <w:r>
        <w:fldChar w:fldCharType="separate"/>
      </w:r>
      <w:r w:rsidR="00041BBF">
        <w:t xml:space="preserve">Figure </w:t>
      </w:r>
      <w:r w:rsidR="00041BBF">
        <w:rPr>
          <w:noProof/>
        </w:rPr>
        <w:t>6</w:t>
      </w:r>
      <w:r>
        <w:fldChar w:fldCharType="end"/>
      </w:r>
      <w:r>
        <w:t>). Here Sunday March 3</w:t>
      </w:r>
      <w:r w:rsidRPr="00AE0903">
        <w:rPr>
          <w:vertAlign w:val="superscript"/>
        </w:rPr>
        <w:t>rd</w:t>
      </w:r>
      <w:r>
        <w:t>, 2024, is selected from the calendar menu:</w:t>
      </w:r>
    </w:p>
    <w:p w14:paraId="2068F287" w14:textId="77777777" w:rsidR="007E493D" w:rsidRDefault="007E493D" w:rsidP="007E493D">
      <w:pPr>
        <w:pStyle w:val="Figure"/>
      </w:pPr>
      <w:r>
        <w:rPr>
          <w:noProof/>
        </w:rPr>
        <w:drawing>
          <wp:inline distT="0" distB="0" distL="0" distR="0" wp14:anchorId="57E028FC" wp14:editId="4D912AA1">
            <wp:extent cx="3434923" cy="33585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301" cy="3360876"/>
                    </a:xfrm>
                    <a:prstGeom prst="rect">
                      <a:avLst/>
                    </a:prstGeom>
                    <a:noFill/>
                    <a:ln>
                      <a:noFill/>
                    </a:ln>
                  </pic:spPr>
                </pic:pic>
              </a:graphicData>
            </a:graphic>
          </wp:inline>
        </w:drawing>
      </w:r>
    </w:p>
    <w:p w14:paraId="752CD9DE" w14:textId="0532F1BE" w:rsidR="007E493D" w:rsidRDefault="007E493D" w:rsidP="007E493D">
      <w:pPr>
        <w:pStyle w:val="Caption-Fig"/>
        <w:ind w:left="1109" w:hanging="1109"/>
        <w:jc w:val="center"/>
      </w:pPr>
      <w:bookmarkStart w:id="18" w:name="_Ref160015734"/>
      <w:bookmarkStart w:id="19" w:name="_Toc162273019"/>
      <w:r>
        <w:t xml:space="preserve">Figure </w:t>
      </w:r>
      <w:r>
        <w:fldChar w:fldCharType="begin"/>
      </w:r>
      <w:r>
        <w:instrText xml:space="preserve"> SEQ Figure \* ARABIC </w:instrText>
      </w:r>
      <w:r>
        <w:fldChar w:fldCharType="separate"/>
      </w:r>
      <w:r w:rsidR="00041BBF">
        <w:rPr>
          <w:noProof/>
        </w:rPr>
        <w:t>6</w:t>
      </w:r>
      <w:r>
        <w:rPr>
          <w:noProof/>
        </w:rPr>
        <w:fldChar w:fldCharType="end"/>
      </w:r>
      <w:bookmarkEnd w:id="18"/>
      <w:r>
        <w:t>.</w:t>
      </w:r>
      <w:r w:rsidR="008C6DCB">
        <w:t xml:space="preserve"> </w:t>
      </w:r>
      <w:r>
        <w:t>AEMS web interface – temporary occupancy override date selection.</w:t>
      </w:r>
      <w:bookmarkEnd w:id="19"/>
    </w:p>
    <w:p w14:paraId="54AF0CAA" w14:textId="77777777" w:rsidR="007E493D" w:rsidRDefault="007E493D" w:rsidP="007E493D">
      <w:pPr>
        <w:spacing w:after="240"/>
      </w:pPr>
      <w:r>
        <w:t xml:space="preserve">Next, enter a name or identifier for the temporary occupancy override (this could correspond to an event name) in the “Occupancy Label” text box. For this example, we have named this temporary occupancy override “AEMS Temporary Occupancy Test”. </w:t>
      </w:r>
    </w:p>
    <w:p w14:paraId="5A85A8B4" w14:textId="77777777" w:rsidR="007E493D" w:rsidRDefault="007E493D" w:rsidP="007E493D">
      <w:pPr>
        <w:pStyle w:val="Figure"/>
      </w:pPr>
      <w:r>
        <w:rPr>
          <w:noProof/>
        </w:rPr>
        <w:lastRenderedPageBreak/>
        <w:drawing>
          <wp:inline distT="0" distB="0" distL="0" distR="0" wp14:anchorId="551D4F95" wp14:editId="6082F2F3">
            <wp:extent cx="5943600" cy="21463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46300"/>
                    </a:xfrm>
                    <a:prstGeom prst="rect">
                      <a:avLst/>
                    </a:prstGeom>
                  </pic:spPr>
                </pic:pic>
              </a:graphicData>
            </a:graphic>
          </wp:inline>
        </w:drawing>
      </w:r>
    </w:p>
    <w:p w14:paraId="54A5DE27" w14:textId="0ECFFB9F" w:rsidR="007E493D" w:rsidRDefault="007E493D" w:rsidP="007E493D">
      <w:pPr>
        <w:pStyle w:val="Caption-Fig"/>
        <w:ind w:left="1109" w:hanging="1109"/>
        <w:jc w:val="center"/>
      </w:pPr>
      <w:bookmarkStart w:id="20" w:name="_Toc162273020"/>
      <w:r w:rsidRPr="00263E70">
        <w:t xml:space="preserve">Figure </w:t>
      </w:r>
      <w:r>
        <w:fldChar w:fldCharType="begin"/>
      </w:r>
      <w:r>
        <w:instrText xml:space="preserve"> SEQ Figure \* ARABIC </w:instrText>
      </w:r>
      <w:r>
        <w:fldChar w:fldCharType="separate"/>
      </w:r>
      <w:r w:rsidR="00041BBF">
        <w:rPr>
          <w:noProof/>
        </w:rPr>
        <w:t>7</w:t>
      </w:r>
      <w:r>
        <w:rPr>
          <w:noProof/>
        </w:rPr>
        <w:fldChar w:fldCharType="end"/>
      </w:r>
      <w:r>
        <w:t>.</w:t>
      </w:r>
      <w:r w:rsidR="008C6DCB">
        <w:t xml:space="preserve"> </w:t>
      </w:r>
      <w:r w:rsidRPr="00263E70">
        <w:t>AEMS web interface – temporary occupancy override creation</w:t>
      </w:r>
      <w:r>
        <w:t>.</w:t>
      </w:r>
      <w:bookmarkEnd w:id="20"/>
    </w:p>
    <w:p w14:paraId="7A48530F" w14:textId="5AA775AF" w:rsidR="007E493D" w:rsidRDefault="007E493D" w:rsidP="007E493D">
      <w:pPr>
        <w:pStyle w:val="BodyText"/>
      </w:pPr>
      <w:r>
        <w:t>Then, move the slider to the appropriate start time and end time. If the weather is very cold or hot, you may select a start time of 30 minutes prior to the start of the event to ensure the space is comfortable by start of (temporary) occupancy. In this example, we have a start time of 9:30 a.m. and an end time of 6:00 p.m. Next, click the “Create Occupancy” button below the slider. The temporary occupancy override will be added to the list of “Temporary Occupancies” (</w:t>
      </w:r>
      <w:r>
        <w:fldChar w:fldCharType="begin"/>
      </w:r>
      <w:r>
        <w:instrText xml:space="preserve"> REF _Ref160019655 \h </w:instrText>
      </w:r>
      <w:r>
        <w:fldChar w:fldCharType="separate"/>
      </w:r>
      <w:r w:rsidR="00041BBF">
        <w:t xml:space="preserve">Figure </w:t>
      </w:r>
      <w:r w:rsidR="00041BBF">
        <w:rPr>
          <w:noProof/>
        </w:rPr>
        <w:t>8</w:t>
      </w:r>
      <w:r>
        <w:fldChar w:fldCharType="end"/>
      </w:r>
      <w:r>
        <w:t xml:space="preserve"> boxed in red):</w:t>
      </w:r>
    </w:p>
    <w:p w14:paraId="43A75EEF" w14:textId="77777777" w:rsidR="007E493D" w:rsidRDefault="007E493D" w:rsidP="007E493D">
      <w:pPr>
        <w:pStyle w:val="Figure"/>
      </w:pPr>
      <w:r>
        <w:rPr>
          <w:noProof/>
        </w:rPr>
        <w:drawing>
          <wp:inline distT="0" distB="0" distL="0" distR="0" wp14:anchorId="1AAF3CBB" wp14:editId="3190A89C">
            <wp:extent cx="5369916" cy="375554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3803" cy="3758267"/>
                    </a:xfrm>
                    <a:prstGeom prst="rect">
                      <a:avLst/>
                    </a:prstGeom>
                    <a:noFill/>
                    <a:ln>
                      <a:noFill/>
                    </a:ln>
                  </pic:spPr>
                </pic:pic>
              </a:graphicData>
            </a:graphic>
          </wp:inline>
        </w:drawing>
      </w:r>
    </w:p>
    <w:p w14:paraId="06F1D3AA" w14:textId="235C9538" w:rsidR="007E493D" w:rsidRDefault="007E493D" w:rsidP="007E493D">
      <w:pPr>
        <w:pStyle w:val="Caption-Fig"/>
        <w:ind w:left="1109" w:hanging="1109"/>
        <w:jc w:val="center"/>
      </w:pPr>
      <w:bookmarkStart w:id="21" w:name="_Ref160019655"/>
      <w:bookmarkStart w:id="22" w:name="_Toc162273021"/>
      <w:r>
        <w:t xml:space="preserve">Figure </w:t>
      </w:r>
      <w:r>
        <w:fldChar w:fldCharType="begin"/>
      </w:r>
      <w:r>
        <w:instrText xml:space="preserve"> SEQ Figure \* ARABIC </w:instrText>
      </w:r>
      <w:r>
        <w:fldChar w:fldCharType="separate"/>
      </w:r>
      <w:r w:rsidR="00041BBF">
        <w:rPr>
          <w:noProof/>
        </w:rPr>
        <w:t>8</w:t>
      </w:r>
      <w:r>
        <w:rPr>
          <w:noProof/>
        </w:rPr>
        <w:fldChar w:fldCharType="end"/>
      </w:r>
      <w:bookmarkEnd w:id="21"/>
      <w:r>
        <w:t>.</w:t>
      </w:r>
      <w:r w:rsidR="008C6DCB">
        <w:t xml:space="preserve"> </w:t>
      </w:r>
      <w:r>
        <w:t>AEMS web interface – temporary occupancy override (complete).</w:t>
      </w:r>
      <w:bookmarkEnd w:id="22"/>
    </w:p>
    <w:p w14:paraId="0651D643" w14:textId="77777777" w:rsidR="007E493D" w:rsidRDefault="007E493D" w:rsidP="007E493D">
      <w:pPr>
        <w:pStyle w:val="BodyText"/>
        <w:keepLines/>
      </w:pPr>
      <w:r>
        <w:lastRenderedPageBreak/>
        <w:t>Finally, click the save icon in the right corner of the browser. A green check mark indicates that the changes were successfully communicated to the thermostat. If you want to cancel the temporary occupancy override, click the yellow trash button next to the created occupancy override and then the save button at the top right corner. The temporary schedules have no meaning after the date and time for which they are configured as passed. At that time, these schedules should be deleted.</w:t>
      </w:r>
    </w:p>
    <w:p w14:paraId="0C956FFB" w14:textId="77777777" w:rsidR="007E493D" w:rsidRDefault="007E493D" w:rsidP="007E493D">
      <w:pPr>
        <w:pStyle w:val="Heading3"/>
      </w:pPr>
      <w:bookmarkStart w:id="23" w:name="_Toc162272986"/>
      <w:r>
        <w:t>Holiday Manager</w:t>
      </w:r>
      <w:bookmarkEnd w:id="23"/>
    </w:p>
    <w:p w14:paraId="5BF5A708" w14:textId="7C55FA82" w:rsidR="007E493D" w:rsidRDefault="007E493D" w:rsidP="007E493D">
      <w:pPr>
        <w:pStyle w:val="BodyText"/>
      </w:pPr>
      <w:r>
        <w:t>The AEMS system allows users to configure holiday schedules. During a configured holiday, the unit will operate in an unoccupied mode unless a temporary occupancy override is enabled for that date. The AEMS software allows the user to select and enable holidays from a list of predefined United States holidays as well as create custom holidays (</w:t>
      </w:r>
      <w:r>
        <w:fldChar w:fldCharType="begin"/>
      </w:r>
      <w:r>
        <w:instrText xml:space="preserve"> REF _Ref160027152 \h </w:instrText>
      </w:r>
      <w:r>
        <w:fldChar w:fldCharType="separate"/>
      </w:r>
      <w:r w:rsidR="00041BBF">
        <w:t xml:space="preserve">Figure </w:t>
      </w:r>
      <w:r w:rsidR="00041BBF">
        <w:rPr>
          <w:noProof/>
        </w:rPr>
        <w:t>9</w:t>
      </w:r>
      <w:r>
        <w:fldChar w:fldCharType="end"/>
      </w:r>
      <w:r>
        <w:t>):</w:t>
      </w:r>
    </w:p>
    <w:p w14:paraId="7A15B63E" w14:textId="77777777" w:rsidR="007E493D" w:rsidRDefault="007E493D" w:rsidP="007E493D">
      <w:pPr>
        <w:pStyle w:val="Figure"/>
      </w:pPr>
      <w:r>
        <w:rPr>
          <w:noProof/>
        </w:rPr>
        <w:drawing>
          <wp:inline distT="0" distB="0" distL="0" distR="0" wp14:anchorId="1C70911C" wp14:editId="257BA9BA">
            <wp:extent cx="4878805" cy="4558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5599" cy="4565113"/>
                    </a:xfrm>
                    <a:prstGeom prst="rect">
                      <a:avLst/>
                    </a:prstGeom>
                  </pic:spPr>
                </pic:pic>
              </a:graphicData>
            </a:graphic>
          </wp:inline>
        </w:drawing>
      </w:r>
    </w:p>
    <w:p w14:paraId="2DFD6EA6" w14:textId="4C52C6BE" w:rsidR="007E493D" w:rsidRDefault="007E493D" w:rsidP="007E493D">
      <w:pPr>
        <w:pStyle w:val="Caption-Fig"/>
        <w:ind w:left="1109" w:hanging="1109"/>
        <w:jc w:val="center"/>
      </w:pPr>
      <w:bookmarkStart w:id="24" w:name="_Ref160027152"/>
      <w:bookmarkStart w:id="25" w:name="_Toc162273022"/>
      <w:r>
        <w:t xml:space="preserve">Figure </w:t>
      </w:r>
      <w:r>
        <w:fldChar w:fldCharType="begin"/>
      </w:r>
      <w:r>
        <w:instrText xml:space="preserve"> SEQ Figure \* ARABIC </w:instrText>
      </w:r>
      <w:r>
        <w:fldChar w:fldCharType="separate"/>
      </w:r>
      <w:r w:rsidR="00041BBF">
        <w:rPr>
          <w:noProof/>
        </w:rPr>
        <w:t>9</w:t>
      </w:r>
      <w:r>
        <w:rPr>
          <w:noProof/>
        </w:rPr>
        <w:fldChar w:fldCharType="end"/>
      </w:r>
      <w:bookmarkEnd w:id="24"/>
      <w:r>
        <w:t>.</w:t>
      </w:r>
      <w:r w:rsidR="008C6DCB">
        <w:t xml:space="preserve"> </w:t>
      </w:r>
      <w:r>
        <w:t>AEMS Web interface – predefined holidays.</w:t>
      </w:r>
      <w:bookmarkEnd w:id="25"/>
    </w:p>
    <w:p w14:paraId="6E8A8F2C" w14:textId="3C0633FE" w:rsidR="007E493D" w:rsidRDefault="007E493D" w:rsidP="007E493D">
      <w:pPr>
        <w:pStyle w:val="BodyText"/>
        <w:keepNext/>
        <w:keepLines/>
      </w:pPr>
      <w:r>
        <w:lastRenderedPageBreak/>
        <w:t xml:space="preserve">To create a custom holiday, enter a name for the holiday in the “Holiday Label” text box, then select the desired date using the calendar. </w:t>
      </w:r>
      <w:r>
        <w:fldChar w:fldCharType="begin"/>
      </w:r>
      <w:r>
        <w:instrText xml:space="preserve"> REF _Ref160026236 \h </w:instrText>
      </w:r>
      <w:r>
        <w:fldChar w:fldCharType="separate"/>
      </w:r>
      <w:r w:rsidR="00041BBF">
        <w:t xml:space="preserve">Figure </w:t>
      </w:r>
      <w:r w:rsidR="00041BBF">
        <w:rPr>
          <w:noProof/>
        </w:rPr>
        <w:t>10</w:t>
      </w:r>
      <w:r>
        <w:fldChar w:fldCharType="end"/>
      </w:r>
      <w:r>
        <w:t xml:space="preserve"> shows an example of a custom holiday, Boxing Day, that will be observed on December 26</w:t>
      </w:r>
      <w:r w:rsidRPr="00094D25">
        <w:rPr>
          <w:vertAlign w:val="superscript"/>
        </w:rPr>
        <w:t>th</w:t>
      </w:r>
      <w:r>
        <w:t xml:space="preserve">: </w:t>
      </w:r>
    </w:p>
    <w:p w14:paraId="54A38604" w14:textId="77777777" w:rsidR="007E493D" w:rsidRDefault="007E493D" w:rsidP="007E493D">
      <w:pPr>
        <w:pStyle w:val="Figure"/>
      </w:pPr>
      <w:r>
        <w:rPr>
          <w:noProof/>
        </w:rPr>
        <w:drawing>
          <wp:inline distT="0" distB="0" distL="0" distR="0" wp14:anchorId="142B1426" wp14:editId="53B0A588">
            <wp:extent cx="4806616" cy="4465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9632" cy="4467921"/>
                    </a:xfrm>
                    <a:prstGeom prst="rect">
                      <a:avLst/>
                    </a:prstGeom>
                  </pic:spPr>
                </pic:pic>
              </a:graphicData>
            </a:graphic>
          </wp:inline>
        </w:drawing>
      </w:r>
    </w:p>
    <w:p w14:paraId="20592B2F" w14:textId="50ED151F" w:rsidR="007E493D" w:rsidRDefault="007E493D" w:rsidP="007E493D">
      <w:pPr>
        <w:pStyle w:val="Caption-Fig"/>
        <w:ind w:left="1109" w:hanging="1109"/>
        <w:jc w:val="center"/>
      </w:pPr>
      <w:bookmarkStart w:id="26" w:name="_Ref160026236"/>
      <w:bookmarkStart w:id="27" w:name="_Toc162273023"/>
      <w:r>
        <w:t xml:space="preserve">Figure </w:t>
      </w:r>
      <w:r>
        <w:fldChar w:fldCharType="begin"/>
      </w:r>
      <w:r>
        <w:instrText xml:space="preserve"> SEQ Figure \* ARABIC </w:instrText>
      </w:r>
      <w:r>
        <w:fldChar w:fldCharType="separate"/>
      </w:r>
      <w:r w:rsidR="00041BBF">
        <w:rPr>
          <w:noProof/>
        </w:rPr>
        <w:t>10</w:t>
      </w:r>
      <w:r>
        <w:rPr>
          <w:noProof/>
        </w:rPr>
        <w:fldChar w:fldCharType="end"/>
      </w:r>
      <w:bookmarkEnd w:id="26"/>
      <w:r>
        <w:t>.</w:t>
      </w:r>
      <w:r w:rsidR="008C6DCB">
        <w:t xml:space="preserve"> </w:t>
      </w:r>
      <w:r>
        <w:t>AEMS web interface – select custom holiday.</w:t>
      </w:r>
      <w:bookmarkEnd w:id="27"/>
    </w:p>
    <w:p w14:paraId="17DA7ADA" w14:textId="52E2AE5C" w:rsidR="007E493D" w:rsidRDefault="007E493D" w:rsidP="007E493D">
      <w:pPr>
        <w:pStyle w:val="BodyText"/>
      </w:pPr>
      <w:r>
        <w:t>Next, click the “Create Holiday” button to add the holiday to the “Custom Holiday” list (</w:t>
      </w:r>
      <w:r>
        <w:fldChar w:fldCharType="begin"/>
      </w:r>
      <w:r>
        <w:instrText xml:space="preserve"> REF _Ref160027233 \h </w:instrText>
      </w:r>
      <w:r>
        <w:fldChar w:fldCharType="separate"/>
      </w:r>
      <w:r w:rsidR="00041BBF">
        <w:t xml:space="preserve">Figure </w:t>
      </w:r>
      <w:r w:rsidR="00041BBF">
        <w:rPr>
          <w:noProof/>
        </w:rPr>
        <w:t>11</w:t>
      </w:r>
      <w:r>
        <w:fldChar w:fldCharType="end"/>
      </w:r>
      <w:r>
        <w:t>):</w:t>
      </w:r>
    </w:p>
    <w:p w14:paraId="33A7A954" w14:textId="77777777" w:rsidR="007E493D" w:rsidRDefault="007E493D" w:rsidP="007E493D">
      <w:pPr>
        <w:pStyle w:val="Figure"/>
      </w:pPr>
      <w:r>
        <w:rPr>
          <w:noProof/>
        </w:rPr>
        <w:lastRenderedPageBreak/>
        <w:drawing>
          <wp:inline distT="0" distB="0" distL="0" distR="0" wp14:anchorId="3ACB474C" wp14:editId="237AEFE0">
            <wp:extent cx="4854742" cy="4620304"/>
            <wp:effectExtent l="0" t="0" r="317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9455" cy="4624790"/>
                    </a:xfrm>
                    <a:prstGeom prst="rect">
                      <a:avLst/>
                    </a:prstGeom>
                  </pic:spPr>
                </pic:pic>
              </a:graphicData>
            </a:graphic>
          </wp:inline>
        </w:drawing>
      </w:r>
    </w:p>
    <w:p w14:paraId="4217D4D5" w14:textId="03CF9905" w:rsidR="007E493D" w:rsidRDefault="007E493D" w:rsidP="007E493D">
      <w:pPr>
        <w:pStyle w:val="Caption"/>
      </w:pPr>
      <w:bookmarkStart w:id="28" w:name="_Ref160027233"/>
      <w:bookmarkStart w:id="29" w:name="_Toc162273024"/>
      <w:r>
        <w:t xml:space="preserve">Figure </w:t>
      </w:r>
      <w:r>
        <w:fldChar w:fldCharType="begin"/>
      </w:r>
      <w:r>
        <w:instrText xml:space="preserve"> SEQ Figure \* ARABIC </w:instrText>
      </w:r>
      <w:r>
        <w:fldChar w:fldCharType="separate"/>
      </w:r>
      <w:r w:rsidR="00041BBF">
        <w:rPr>
          <w:noProof/>
        </w:rPr>
        <w:t>11</w:t>
      </w:r>
      <w:r>
        <w:rPr>
          <w:noProof/>
        </w:rPr>
        <w:fldChar w:fldCharType="end"/>
      </w:r>
      <w:bookmarkEnd w:id="28"/>
      <w:r>
        <w:t>.</w:t>
      </w:r>
      <w:r w:rsidR="008C6DCB">
        <w:t xml:space="preserve"> </w:t>
      </w:r>
      <w:r>
        <w:t>AEMS web interface – create custom holiday.</w:t>
      </w:r>
      <w:bookmarkEnd w:id="29"/>
    </w:p>
    <w:p w14:paraId="274CB6A3" w14:textId="77777777" w:rsidR="007E493D" w:rsidRPr="002B6E9B" w:rsidRDefault="007E493D" w:rsidP="007E493D">
      <w:pPr>
        <w:pStyle w:val="BodyText"/>
      </w:pPr>
      <w:r>
        <w:t>Finally, click the save icon in the right corner of the web browser. A green check mark indicates that the changes were successfully communicated to the thermostat. If you want to delete the custom holiday, click the yellow trash button next to the custom holiday and then the save button at the top right corner.</w:t>
      </w:r>
    </w:p>
    <w:p w14:paraId="45075B17" w14:textId="77777777" w:rsidR="007E493D" w:rsidRDefault="007E493D" w:rsidP="007E493D">
      <w:pPr>
        <w:pStyle w:val="Heading3"/>
      </w:pPr>
      <w:bookmarkStart w:id="30" w:name="_Ref160626056"/>
      <w:bookmarkStart w:id="31" w:name="_Toc162272987"/>
      <w:r>
        <w:t>Optimal Start Manager</w:t>
      </w:r>
      <w:bookmarkEnd w:id="30"/>
      <w:bookmarkEnd w:id="31"/>
    </w:p>
    <w:p w14:paraId="463E4CF5" w14:textId="77777777" w:rsidR="007E493D" w:rsidRPr="008B77D1" w:rsidRDefault="007E493D" w:rsidP="007E493D">
      <w:pPr>
        <w:pStyle w:val="BodyText"/>
      </w:pPr>
      <w:r w:rsidRPr="008B77D1">
        <w:t xml:space="preserve">Optimal start is a strategy that aims to minimize energy consumption by </w:t>
      </w:r>
      <w:r>
        <w:t xml:space="preserve">estimating the start time of the RTU each morning, so the zone is at the desired temperature when the occupancy begins. </w:t>
      </w:r>
      <w:r w:rsidRPr="008B77D1">
        <w:t>Instead of running systems continuously</w:t>
      </w:r>
      <w:r>
        <w:t xml:space="preserve"> or scheduling the system to come on at the same predefined time each day</w:t>
      </w:r>
      <w:r w:rsidRPr="008B77D1">
        <w:t xml:space="preserve">, optimal start calculates the ideal time to start </w:t>
      </w:r>
      <w:r>
        <w:t xml:space="preserve">the RTU </w:t>
      </w:r>
      <w:r w:rsidRPr="008B77D1">
        <w:t>based on building thermal characteristics, occupancy patterns, and weather conditions. By pre</w:t>
      </w:r>
      <w:r>
        <w:noBreakHyphen/>
      </w:r>
      <w:r w:rsidRPr="008B77D1">
        <w:t>conditioning spaces to reach comfort temperatures precisely when needed, optimal start reduces energy waste</w:t>
      </w:r>
      <w:r>
        <w:t>.</w:t>
      </w:r>
    </w:p>
    <w:p w14:paraId="5F1B3768" w14:textId="6E42613E" w:rsidR="007E493D" w:rsidRDefault="007E493D" w:rsidP="007E493D">
      <w:pPr>
        <w:pStyle w:val="BodyText"/>
      </w:pPr>
      <w:r>
        <w:t xml:space="preserve">The typical approach for schedule management is to set the occupied start time as several hours prior to the actual start of occupancy to ensure the space is at setpoint when occupancy begins. This wastes significant energy, especially when the weather is mild. The AEMS optimal start has a built-in algorithm that learns the RTU’s behavior and adjusts the start time to minimize the prestart time while ensuring </w:t>
      </w:r>
      <w:r>
        <w:lastRenderedPageBreak/>
        <w:t>the space is at desired temperature when occupancy begins. The optimal start configurations for AEMS are under the RTU Configuration submenu (</w:t>
      </w:r>
      <w:r>
        <w:fldChar w:fldCharType="begin"/>
      </w:r>
      <w:r>
        <w:instrText xml:space="preserve"> REF _Ref160028430 \h </w:instrText>
      </w:r>
      <w:r>
        <w:fldChar w:fldCharType="separate"/>
      </w:r>
      <w:r w:rsidR="00041BBF">
        <w:t xml:space="preserve">Figure </w:t>
      </w:r>
      <w:r w:rsidR="00041BBF">
        <w:rPr>
          <w:noProof/>
        </w:rPr>
        <w:t>12</w:t>
      </w:r>
      <w:r>
        <w:fldChar w:fldCharType="end"/>
      </w:r>
      <w:r>
        <w:t>):</w:t>
      </w:r>
    </w:p>
    <w:p w14:paraId="322979E8" w14:textId="77777777" w:rsidR="007E493D" w:rsidRDefault="007E493D" w:rsidP="007E493D">
      <w:pPr>
        <w:pStyle w:val="Figure"/>
      </w:pPr>
      <w:r>
        <w:t xml:space="preserve"> </w:t>
      </w:r>
      <w:r>
        <w:rPr>
          <w:noProof/>
        </w:rPr>
        <w:drawing>
          <wp:inline distT="0" distB="0" distL="0" distR="0" wp14:anchorId="3E511FDE" wp14:editId="49406A07">
            <wp:extent cx="5943600" cy="22072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7260"/>
                    </a:xfrm>
                    <a:prstGeom prst="rect">
                      <a:avLst/>
                    </a:prstGeom>
                  </pic:spPr>
                </pic:pic>
              </a:graphicData>
            </a:graphic>
          </wp:inline>
        </w:drawing>
      </w:r>
    </w:p>
    <w:p w14:paraId="7C368D0C" w14:textId="281D13AD" w:rsidR="007E493D" w:rsidRDefault="007E493D" w:rsidP="007E493D">
      <w:pPr>
        <w:pStyle w:val="Caption-Fig"/>
        <w:ind w:left="1109" w:hanging="1109"/>
        <w:jc w:val="center"/>
      </w:pPr>
      <w:bookmarkStart w:id="32" w:name="_Ref160028430"/>
      <w:bookmarkStart w:id="33" w:name="_Toc162273025"/>
      <w:r>
        <w:t xml:space="preserve">Figure </w:t>
      </w:r>
      <w:r>
        <w:fldChar w:fldCharType="begin"/>
      </w:r>
      <w:r>
        <w:instrText xml:space="preserve"> SEQ Figure \* ARABIC </w:instrText>
      </w:r>
      <w:r>
        <w:fldChar w:fldCharType="separate"/>
      </w:r>
      <w:r w:rsidR="00041BBF">
        <w:rPr>
          <w:noProof/>
        </w:rPr>
        <w:t>12</w:t>
      </w:r>
      <w:r>
        <w:rPr>
          <w:noProof/>
        </w:rPr>
        <w:fldChar w:fldCharType="end"/>
      </w:r>
      <w:bookmarkEnd w:id="32"/>
      <w:r>
        <w:t>.</w:t>
      </w:r>
      <w:r w:rsidR="008C6DCB">
        <w:t xml:space="preserve"> </w:t>
      </w:r>
      <w:r>
        <w:t>AEMS web interface – optimal start.</w:t>
      </w:r>
      <w:bookmarkEnd w:id="33"/>
    </w:p>
    <w:p w14:paraId="53CE0868" w14:textId="77777777" w:rsidR="007E493D" w:rsidRDefault="007E493D" w:rsidP="007E493D">
      <w:pPr>
        <w:pStyle w:val="BodyText"/>
      </w:pPr>
      <w:r>
        <w:t>The following parameters for optimal start are user configurable:</w:t>
      </w:r>
    </w:p>
    <w:p w14:paraId="22257226" w14:textId="77777777" w:rsidR="007E493D" w:rsidRPr="00E34627" w:rsidRDefault="007E493D" w:rsidP="007E493D">
      <w:pPr>
        <w:pStyle w:val="ListBullet"/>
        <w:ind w:left="720"/>
      </w:pPr>
      <w:r w:rsidRPr="00E34627">
        <w:t xml:space="preserve">Disable </w:t>
      </w:r>
      <w:r>
        <w:t>O</w:t>
      </w:r>
      <w:r w:rsidRPr="00E34627">
        <w:t xml:space="preserve">ptimal Start </w:t>
      </w:r>
      <w:r>
        <w:t>w</w:t>
      </w:r>
      <w:r w:rsidRPr="00E34627">
        <w:t>hen the Outdoor Temperatures are below</w:t>
      </w:r>
      <w:r>
        <w:t>:</w:t>
      </w:r>
      <w:r w:rsidRPr="00E34627">
        <w:t xml:space="preserve"> </w:t>
      </w:r>
      <w:r>
        <w:t>This is also referred to as l</w:t>
      </w:r>
      <w:r w:rsidRPr="00E34627">
        <w:t>ow</w:t>
      </w:r>
      <w:r>
        <w:t>-</w:t>
      </w:r>
      <w:r w:rsidRPr="00E34627">
        <w:t>temperature lockout for optimal start.</w:t>
      </w:r>
      <w:r>
        <w:t xml:space="preserve"> This parameter is used f</w:t>
      </w:r>
      <w:r w:rsidRPr="00E34627">
        <w:t xml:space="preserve">or </w:t>
      </w:r>
      <w:r>
        <w:t>HP</w:t>
      </w:r>
      <w:r w:rsidRPr="00E34627">
        <w:t xml:space="preserve"> systems with auxiliary electric heat</w:t>
      </w:r>
      <w:r>
        <w:t>. At low outdoor air temperatures,</w:t>
      </w:r>
      <w:r w:rsidRPr="00E34627">
        <w:t xml:space="preserve"> the </w:t>
      </w:r>
      <w:r>
        <w:t>HP</w:t>
      </w:r>
      <w:r w:rsidRPr="00E34627">
        <w:t xml:space="preserve"> capacity </w:t>
      </w:r>
      <w:r>
        <w:t xml:space="preserve">and efficiency </w:t>
      </w:r>
      <w:r w:rsidRPr="00E34627">
        <w:t xml:space="preserve">are </w:t>
      </w:r>
      <w:r>
        <w:t xml:space="preserve">significantly degraded, which will enable backup </w:t>
      </w:r>
      <w:r w:rsidRPr="00E34627">
        <w:t xml:space="preserve">electric heat </w:t>
      </w:r>
      <w:r>
        <w:t xml:space="preserve">and </w:t>
      </w:r>
      <w:r w:rsidRPr="00E34627">
        <w:t xml:space="preserve">can </w:t>
      </w:r>
      <w:r>
        <w:t xml:space="preserve">result in </w:t>
      </w:r>
      <w:r w:rsidRPr="00E34627">
        <w:t xml:space="preserve">significant </w:t>
      </w:r>
      <w:r>
        <w:t xml:space="preserve">electricity </w:t>
      </w:r>
      <w:r w:rsidRPr="00E34627">
        <w:t>demand.</w:t>
      </w:r>
      <w:r>
        <w:t xml:space="preserve">  When the outdoor-air temperature is forecasted to be lower than this value, the RTU will run continuously and not utilize unoccupied set back temperature setpoints.</w:t>
      </w:r>
    </w:p>
    <w:p w14:paraId="1198D2A8" w14:textId="77777777" w:rsidR="007E493D" w:rsidRPr="00E34627" w:rsidRDefault="007E493D" w:rsidP="007E493D">
      <w:pPr>
        <w:pStyle w:val="ListBullet"/>
        <w:ind w:left="720"/>
      </w:pPr>
      <w:r w:rsidRPr="00E34627">
        <w:t>Optimal Start Allowable Zone Temperature Deviation</w:t>
      </w:r>
      <w:r>
        <w:t xml:space="preserve">: This determines how far the zone temperature is allowed to deviate from the desired zone setpoint. </w:t>
      </w:r>
    </w:p>
    <w:p w14:paraId="2ED62903" w14:textId="77777777" w:rsidR="007E493D" w:rsidRPr="00E34627" w:rsidRDefault="007E493D" w:rsidP="007E493D">
      <w:pPr>
        <w:pStyle w:val="ListBullet"/>
        <w:ind w:left="720"/>
      </w:pPr>
      <w:r w:rsidRPr="00E34627">
        <w:t>Earliest Start Time Before Occupancy</w:t>
      </w:r>
      <w:r>
        <w:t>:</w:t>
      </w:r>
      <w:r w:rsidRPr="00E34627">
        <w:t xml:space="preserve"> </w:t>
      </w:r>
      <w:r>
        <w:t>This is the m</w:t>
      </w:r>
      <w:r w:rsidRPr="00E34627">
        <w:t xml:space="preserve">aximum number of minutes prior to scheduled occupancy start that the unit can start to meet </w:t>
      </w:r>
      <w:r>
        <w:t>setpoint</w:t>
      </w:r>
      <w:r w:rsidRPr="00E34627">
        <w:t>.</w:t>
      </w:r>
    </w:p>
    <w:p w14:paraId="68F0117C" w14:textId="77777777" w:rsidR="007E493D" w:rsidRPr="00E34627" w:rsidRDefault="007E493D" w:rsidP="007E493D">
      <w:pPr>
        <w:pStyle w:val="ListBullet"/>
        <w:ind w:left="720"/>
      </w:pPr>
      <w:r w:rsidRPr="00E34627">
        <w:t xml:space="preserve">Latest Start Time Before Occupancy – </w:t>
      </w:r>
      <w:r>
        <w:t>This is the m</w:t>
      </w:r>
      <w:r w:rsidRPr="00E34627">
        <w:t xml:space="preserve">inimum number of minutes prior to scheduled occupancy start that the unit can start to meet </w:t>
      </w:r>
      <w:r>
        <w:t>setpoint</w:t>
      </w:r>
      <w:r w:rsidRPr="00E34627">
        <w:t xml:space="preserve"> at scheduled occupancy start.</w:t>
      </w:r>
    </w:p>
    <w:p w14:paraId="5CDBA121" w14:textId="77777777" w:rsidR="007E493D" w:rsidRDefault="007E493D" w:rsidP="007E493D">
      <w:pPr>
        <w:pStyle w:val="BodyText"/>
      </w:pPr>
      <w:r>
        <w:t>When changes are made in the AEMS web UI, make sure to click the save icon in the right corner of the web browser. A green check mark indicates that the changes were successfully communicated to the thermostat.</w:t>
      </w:r>
    </w:p>
    <w:p w14:paraId="70C15C15" w14:textId="77777777" w:rsidR="007E493D" w:rsidRPr="00E509A1" w:rsidRDefault="007E493D" w:rsidP="007E493D">
      <w:pPr>
        <w:pStyle w:val="BodyText"/>
        <w:rPr>
          <w:rFonts w:ascii="Calibri" w:hAnsi="Calibri" w:cs="Calibri"/>
          <w:color w:val="212121"/>
        </w:rPr>
      </w:pPr>
      <w:r w:rsidRPr="00E509A1">
        <w:rPr>
          <w:shd w:val="clear" w:color="auto" w:fill="FFFFFF"/>
        </w:rPr>
        <w:t xml:space="preserve">Managing building startup procedures effectively is integral to </w:t>
      </w:r>
      <w:r>
        <w:rPr>
          <w:shd w:val="clear" w:color="auto" w:fill="FFFFFF"/>
        </w:rPr>
        <w:t>managing</w:t>
      </w:r>
      <w:r w:rsidRPr="00E509A1">
        <w:rPr>
          <w:shd w:val="clear" w:color="auto" w:fill="FFFFFF"/>
        </w:rPr>
        <w:t xml:space="preserve"> peak </w:t>
      </w:r>
      <w:r>
        <w:rPr>
          <w:shd w:val="clear" w:color="auto" w:fill="FFFFFF"/>
        </w:rPr>
        <w:t xml:space="preserve">electricity </w:t>
      </w:r>
      <w:r w:rsidRPr="00E509A1">
        <w:rPr>
          <w:shd w:val="clear" w:color="auto" w:fill="FFFFFF"/>
        </w:rPr>
        <w:t xml:space="preserve">demand, </w:t>
      </w:r>
      <w:r w:rsidRPr="00736ED7">
        <w:t>enhancing</w:t>
      </w:r>
      <w:r w:rsidRPr="00E509A1">
        <w:rPr>
          <w:shd w:val="clear" w:color="auto" w:fill="FFFFFF"/>
        </w:rPr>
        <w:t xml:space="preserve"> </w:t>
      </w:r>
      <w:r>
        <w:rPr>
          <w:shd w:val="clear" w:color="auto" w:fill="FFFFFF"/>
        </w:rPr>
        <w:t>EE</w:t>
      </w:r>
      <w:r w:rsidRPr="00E509A1">
        <w:rPr>
          <w:shd w:val="clear" w:color="auto" w:fill="FFFFFF"/>
        </w:rPr>
        <w:t>, and achieving cost savings. During morning startup when the building is transitioning to occupancy, RTUs will turn on to condition</w:t>
      </w:r>
      <w:r>
        <w:rPr>
          <w:shd w:val="clear" w:color="auto" w:fill="FFFFFF"/>
        </w:rPr>
        <w:t xml:space="preserve"> the </w:t>
      </w:r>
      <w:r w:rsidRPr="00E509A1">
        <w:rPr>
          <w:shd w:val="clear" w:color="auto" w:fill="FFFFFF"/>
        </w:rPr>
        <w:t xml:space="preserve">spaces. When a significant </w:t>
      </w:r>
      <w:r>
        <w:rPr>
          <w:shd w:val="clear" w:color="auto" w:fill="FFFFFF"/>
        </w:rPr>
        <w:t>number</w:t>
      </w:r>
      <w:r w:rsidRPr="00E509A1">
        <w:rPr>
          <w:shd w:val="clear" w:color="auto" w:fill="FFFFFF"/>
        </w:rPr>
        <w:t xml:space="preserve"> of the building’s </w:t>
      </w:r>
      <w:r>
        <w:rPr>
          <w:shd w:val="clear" w:color="auto" w:fill="FFFFFF"/>
        </w:rPr>
        <w:t>RTUs</w:t>
      </w:r>
      <w:r w:rsidRPr="00E509A1">
        <w:rPr>
          <w:shd w:val="clear" w:color="auto" w:fill="FFFFFF"/>
        </w:rPr>
        <w:t xml:space="preserve"> turn on to simultaneously</w:t>
      </w:r>
      <w:r>
        <w:rPr>
          <w:shd w:val="clear" w:color="auto" w:fill="FFFFFF"/>
        </w:rPr>
        <w:t>, it could increase the building electricity peak significantly</w:t>
      </w:r>
      <w:r w:rsidRPr="00E509A1">
        <w:rPr>
          <w:shd w:val="clear" w:color="auto" w:fill="FFFFFF"/>
        </w:rPr>
        <w:t xml:space="preserve">. This is especially true for RTUs/HPs with electric </w:t>
      </w:r>
      <w:r>
        <w:rPr>
          <w:shd w:val="clear" w:color="auto" w:fill="FFFFFF"/>
        </w:rPr>
        <w:t>backup</w:t>
      </w:r>
      <w:r w:rsidRPr="00E509A1">
        <w:rPr>
          <w:shd w:val="clear" w:color="auto" w:fill="FFFFFF"/>
        </w:rPr>
        <w:t>.</w:t>
      </w:r>
      <w:r>
        <w:rPr>
          <w:shd w:val="clear" w:color="auto" w:fill="FFFFFF"/>
        </w:rPr>
        <w:t xml:space="preserve"> </w:t>
      </w:r>
    </w:p>
    <w:p w14:paraId="44F67D73" w14:textId="5B407249" w:rsidR="007E493D" w:rsidRPr="0002661A" w:rsidRDefault="007E493D" w:rsidP="007E493D">
      <w:pPr>
        <w:pStyle w:val="BodyText"/>
        <w:rPr>
          <w:shd w:val="clear" w:color="auto" w:fill="FFFFFF"/>
        </w:rPr>
      </w:pPr>
      <w:r w:rsidRPr="00E509A1">
        <w:rPr>
          <w:shd w:val="clear" w:color="auto" w:fill="FFFFFF"/>
        </w:rPr>
        <w:t xml:space="preserve">Morning startup </w:t>
      </w:r>
      <w:r>
        <w:rPr>
          <w:shd w:val="clear" w:color="auto" w:fill="FFFFFF"/>
        </w:rPr>
        <w:t xml:space="preserve">electricity </w:t>
      </w:r>
      <w:r w:rsidRPr="00E509A1">
        <w:rPr>
          <w:shd w:val="clear" w:color="auto" w:fill="FFFFFF"/>
        </w:rPr>
        <w:t xml:space="preserve">peaks can be managed using ILC. ILC dynamically </w:t>
      </w:r>
      <w:r w:rsidRPr="00736ED7">
        <w:t>prioritizes</w:t>
      </w:r>
      <w:r w:rsidRPr="00E509A1">
        <w:rPr>
          <w:shd w:val="clear" w:color="auto" w:fill="FFFFFF"/>
        </w:rPr>
        <w:t xml:space="preserve"> building loads (</w:t>
      </w:r>
      <w:r>
        <w:rPr>
          <w:shd w:val="clear" w:color="auto" w:fill="FFFFFF"/>
        </w:rPr>
        <w:t xml:space="preserve">e.g., </w:t>
      </w:r>
      <w:r w:rsidRPr="00E509A1">
        <w:rPr>
          <w:shd w:val="clear" w:color="auto" w:fill="FFFFFF"/>
        </w:rPr>
        <w:t xml:space="preserve">building HVAC systems) to reduce peak demand while minimizing effects to building service levels. ILC prioritizes the RTUs based on zone location, cooling/heating capacity, zone type, and zone comfort metrics. The prioritization list will be used to control the RTU space </w:t>
      </w:r>
      <w:r>
        <w:rPr>
          <w:shd w:val="clear" w:color="auto" w:fill="FFFFFF"/>
        </w:rPr>
        <w:t>setpoint</w:t>
      </w:r>
      <w:r w:rsidRPr="00E509A1">
        <w:rPr>
          <w:shd w:val="clear" w:color="auto" w:fill="FFFFFF"/>
        </w:rPr>
        <w:t xml:space="preserve">s by decreasing the </w:t>
      </w:r>
      <w:r>
        <w:rPr>
          <w:shd w:val="clear" w:color="auto" w:fill="FFFFFF"/>
        </w:rPr>
        <w:lastRenderedPageBreak/>
        <w:t>setpoint by</w:t>
      </w:r>
      <w:r w:rsidRPr="00E509A1">
        <w:rPr>
          <w:shd w:val="clear" w:color="auto" w:fill="FFFFFF"/>
        </w:rPr>
        <w:t xml:space="preserve"> 1⁰F – 2⁰F during heating and increasing the </w:t>
      </w:r>
      <w:r>
        <w:rPr>
          <w:shd w:val="clear" w:color="auto" w:fill="FFFFFF"/>
        </w:rPr>
        <w:t>setpoint</w:t>
      </w:r>
      <w:r w:rsidRPr="00E509A1">
        <w:rPr>
          <w:shd w:val="clear" w:color="auto" w:fill="FFFFFF"/>
        </w:rPr>
        <w:t xml:space="preserve"> by 1⁰F – 2⁰F during cooling.</w:t>
      </w:r>
      <w:r>
        <w:rPr>
          <w:shd w:val="clear" w:color="auto" w:fill="FFFFFF"/>
        </w:rPr>
        <w:t xml:space="preserve"> </w:t>
      </w:r>
      <w:r w:rsidRPr="00E509A1">
        <w:rPr>
          <w:shd w:val="clear" w:color="auto" w:fill="FFFFFF"/>
        </w:rPr>
        <w:t>Also, the electric heat can optionally be controlled, and disabled, if additional load reduction is required. </w:t>
      </w:r>
      <w:r>
        <w:rPr>
          <w:shd w:val="clear" w:color="auto" w:fill="FFFFFF"/>
        </w:rPr>
        <w:t xml:space="preserve">For more details of how to configure ILC, refer to Section </w:t>
      </w:r>
      <w:r>
        <w:rPr>
          <w:shd w:val="clear" w:color="auto" w:fill="FFFFFF"/>
        </w:rPr>
        <w:fldChar w:fldCharType="begin"/>
      </w:r>
      <w:r>
        <w:rPr>
          <w:shd w:val="clear" w:color="auto" w:fill="FFFFFF"/>
        </w:rPr>
        <w:instrText xml:space="preserve"> REF _Ref160525398 \r \h </w:instrText>
      </w:r>
      <w:r>
        <w:rPr>
          <w:shd w:val="clear" w:color="auto" w:fill="FFFFFF"/>
        </w:rPr>
      </w:r>
      <w:r>
        <w:rPr>
          <w:shd w:val="clear" w:color="auto" w:fill="FFFFFF"/>
        </w:rPr>
        <w:fldChar w:fldCharType="separate"/>
      </w:r>
      <w:r w:rsidR="00041BBF">
        <w:rPr>
          <w:shd w:val="clear" w:color="auto" w:fill="FFFFFF"/>
        </w:rPr>
        <w:t>1.2.1</w:t>
      </w:r>
      <w:r>
        <w:rPr>
          <w:shd w:val="clear" w:color="auto" w:fill="FFFFFF"/>
        </w:rPr>
        <w:fldChar w:fldCharType="end"/>
      </w:r>
      <w:r>
        <w:rPr>
          <w:shd w:val="clear" w:color="auto" w:fill="FFFFFF"/>
        </w:rPr>
        <w:t>. For more details on the ILC process, refer to Kim et al. (2016, 2020) and Kim and Katipamula (2017).</w:t>
      </w:r>
    </w:p>
    <w:p w14:paraId="3F378D4D" w14:textId="77777777" w:rsidR="007E493D" w:rsidRPr="00E509A1" w:rsidRDefault="007E493D" w:rsidP="007E493D">
      <w:pPr>
        <w:pStyle w:val="BodyText"/>
        <w:rPr>
          <w:rFonts w:ascii="Calibri" w:hAnsi="Calibri" w:cs="Calibri"/>
          <w:color w:val="212121"/>
        </w:rPr>
      </w:pPr>
      <w:r>
        <w:t xml:space="preserve">Optimal start will run every day when the RTU transitions from an unoccupied state to an occupied state unless the outdoor-air temperature is very low and optimal start is locked out. Optimal start will not run when transitioning from an unoccupied state to a temporary occupancy override. If communication between VOLTTON and the thermostat is lost, the thermostat will fall back into a standalone mode. In this mode, the optimal start signals from the AEMS software cannot be sent to the thermostat and the RTU will start based on the local thermostat occupancy schedule.  </w:t>
      </w:r>
    </w:p>
    <w:p w14:paraId="5134ABB9" w14:textId="77777777" w:rsidR="007E493D" w:rsidRDefault="007E493D" w:rsidP="007E493D">
      <w:pPr>
        <w:pStyle w:val="Heading3"/>
      </w:pPr>
      <w:bookmarkStart w:id="34" w:name="_Toc162272988"/>
      <w:r>
        <w:t>Miscellaneous Parameter Inputs</w:t>
      </w:r>
      <w:bookmarkEnd w:id="34"/>
    </w:p>
    <w:p w14:paraId="6CACAF7F" w14:textId="479DD183" w:rsidR="007E493D" w:rsidRDefault="007E493D" w:rsidP="007E493D">
      <w:pPr>
        <w:pStyle w:val="BodyText"/>
      </w:pPr>
      <w:r>
        <w:t>The AEMS system also allows users to configure energy saving lockouts and inputs associated with the economizer systems. These settings are also found in the “RTU Configuration” submenu (</w:t>
      </w:r>
      <w:r>
        <w:fldChar w:fldCharType="begin"/>
      </w:r>
      <w:r>
        <w:instrText xml:space="preserve"> REF _Ref160091232 \h </w:instrText>
      </w:r>
      <w:r>
        <w:fldChar w:fldCharType="separate"/>
      </w:r>
      <w:r w:rsidR="00041BBF">
        <w:t xml:space="preserve">Figure </w:t>
      </w:r>
      <w:r w:rsidR="00041BBF">
        <w:rPr>
          <w:noProof/>
        </w:rPr>
        <w:t>13</w:t>
      </w:r>
      <w:r>
        <w:fldChar w:fldCharType="end"/>
      </w:r>
      <w:r>
        <w:t>):</w:t>
      </w:r>
    </w:p>
    <w:p w14:paraId="37D58C6E" w14:textId="77777777" w:rsidR="007E493D" w:rsidRDefault="007E493D" w:rsidP="007E493D">
      <w:pPr>
        <w:pStyle w:val="Figure"/>
      </w:pPr>
      <w:r>
        <w:rPr>
          <w:noProof/>
        </w:rPr>
        <w:drawing>
          <wp:inline distT="0" distB="0" distL="0" distR="0" wp14:anchorId="47307B57" wp14:editId="29F8888E">
            <wp:extent cx="5943600" cy="1911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11350"/>
                    </a:xfrm>
                    <a:prstGeom prst="rect">
                      <a:avLst/>
                    </a:prstGeom>
                  </pic:spPr>
                </pic:pic>
              </a:graphicData>
            </a:graphic>
          </wp:inline>
        </w:drawing>
      </w:r>
    </w:p>
    <w:p w14:paraId="16792404" w14:textId="7EB6D482" w:rsidR="007E493D" w:rsidRDefault="007E493D" w:rsidP="007E493D">
      <w:pPr>
        <w:pStyle w:val="Caption-Fig"/>
        <w:ind w:left="1109" w:hanging="1109"/>
        <w:jc w:val="center"/>
      </w:pPr>
      <w:bookmarkStart w:id="35" w:name="_Ref160091232"/>
      <w:bookmarkStart w:id="36" w:name="_Toc162273026"/>
      <w:r>
        <w:t xml:space="preserve">Figure </w:t>
      </w:r>
      <w:r>
        <w:fldChar w:fldCharType="begin"/>
      </w:r>
      <w:r>
        <w:instrText xml:space="preserve"> SEQ Figure \* ARABIC </w:instrText>
      </w:r>
      <w:r>
        <w:fldChar w:fldCharType="separate"/>
      </w:r>
      <w:r w:rsidR="00041BBF">
        <w:rPr>
          <w:noProof/>
        </w:rPr>
        <w:t>13</w:t>
      </w:r>
      <w:r>
        <w:rPr>
          <w:noProof/>
        </w:rPr>
        <w:fldChar w:fldCharType="end"/>
      </w:r>
      <w:bookmarkEnd w:id="35"/>
      <w:r>
        <w:t>.</w:t>
      </w:r>
      <w:r w:rsidR="008C6DCB">
        <w:t xml:space="preserve"> </w:t>
      </w:r>
      <w:r>
        <w:t>AEMS web interface – miscellaneous configurations.</w:t>
      </w:r>
      <w:bookmarkEnd w:id="36"/>
    </w:p>
    <w:p w14:paraId="40676EF1" w14:textId="77777777" w:rsidR="007E493D" w:rsidRDefault="007E493D" w:rsidP="007E493D">
      <w:pPr>
        <w:pStyle w:val="BodyText"/>
      </w:pPr>
      <w:r>
        <w:t>The following miscellaneous parameters are configurable:</w:t>
      </w:r>
    </w:p>
    <w:p w14:paraId="5B17E3F3" w14:textId="77777777" w:rsidR="007E493D" w:rsidRPr="00711AF9" w:rsidRDefault="007E493D" w:rsidP="007E493D">
      <w:pPr>
        <w:pStyle w:val="ListBullet"/>
        <w:ind w:left="720"/>
      </w:pPr>
      <w:r w:rsidRPr="00711AF9">
        <w:t>Heat Pump</w:t>
      </w:r>
      <w:r>
        <w:t>:</w:t>
      </w:r>
      <w:r w:rsidRPr="00711AF9">
        <w:t xml:space="preserve"> </w:t>
      </w:r>
      <w:r>
        <w:t>S</w:t>
      </w:r>
      <w:r w:rsidRPr="00711AF9">
        <w:t xml:space="preserve">elect </w:t>
      </w:r>
      <w:r>
        <w:t>“Yes”</w:t>
      </w:r>
      <w:r w:rsidRPr="00711AF9">
        <w:t xml:space="preserve"> if the RTU is a</w:t>
      </w:r>
      <w:r>
        <w:t>n</w:t>
      </w:r>
      <w:r w:rsidRPr="00711AF9">
        <w:t xml:space="preserve"> </w:t>
      </w:r>
      <w:r>
        <w:t>HP</w:t>
      </w:r>
      <w:r w:rsidRPr="00711AF9">
        <w:t xml:space="preserve"> and </w:t>
      </w:r>
      <w:r>
        <w:t>“No”</w:t>
      </w:r>
      <w:r w:rsidRPr="00711AF9">
        <w:t xml:space="preserve"> if the RTU is a packaged air conditioner.</w:t>
      </w:r>
    </w:p>
    <w:p w14:paraId="3E90B74C" w14:textId="77777777" w:rsidR="007E493D" w:rsidRPr="00711AF9" w:rsidRDefault="007E493D" w:rsidP="007E493D">
      <w:pPr>
        <w:pStyle w:val="ListBullet"/>
        <w:ind w:left="720"/>
      </w:pPr>
      <w:r w:rsidRPr="00711AF9">
        <w:t>Heat Pump Auxiliary Heat Lockout</w:t>
      </w:r>
      <w:r>
        <w:t>:</w:t>
      </w:r>
      <w:r w:rsidRPr="00711AF9">
        <w:t xml:space="preserve"> </w:t>
      </w:r>
      <w:r>
        <w:t>This parameter s</w:t>
      </w:r>
      <w:r w:rsidRPr="00711AF9">
        <w:t xml:space="preserve">etting </w:t>
      </w:r>
      <w:r>
        <w:t xml:space="preserve">is </w:t>
      </w:r>
      <w:r w:rsidRPr="00711AF9">
        <w:t xml:space="preserve">available only for </w:t>
      </w:r>
      <w:r>
        <w:t>HP</w:t>
      </w:r>
      <w:r w:rsidRPr="00711AF9">
        <w:t xml:space="preserve"> systems. If the outdoor-air temperature is higher than this value, the AEMS system will disable (lockout) the use of auxiliary heat.</w:t>
      </w:r>
    </w:p>
    <w:p w14:paraId="50D4A62A" w14:textId="77777777" w:rsidR="007E493D" w:rsidRPr="00711AF9" w:rsidRDefault="007E493D" w:rsidP="007E493D">
      <w:pPr>
        <w:pStyle w:val="ListBullet"/>
        <w:ind w:left="720"/>
      </w:pPr>
      <w:r w:rsidRPr="00711AF9">
        <w:t>Economizer</w:t>
      </w:r>
      <w:r>
        <w:t>:</w:t>
      </w:r>
      <w:r w:rsidRPr="00711AF9">
        <w:t xml:space="preserve"> </w:t>
      </w:r>
      <w:r>
        <w:t>S</w:t>
      </w:r>
      <w:r w:rsidRPr="00711AF9">
        <w:t xml:space="preserve">elect </w:t>
      </w:r>
      <w:r>
        <w:t>“</w:t>
      </w:r>
      <w:r w:rsidRPr="00711AF9">
        <w:t>Y</w:t>
      </w:r>
      <w:r>
        <w:t>es”</w:t>
      </w:r>
      <w:r w:rsidRPr="00711AF9">
        <w:t xml:space="preserve"> if the RTU has an economizer system and </w:t>
      </w:r>
      <w:r>
        <w:t>“</w:t>
      </w:r>
      <w:r w:rsidRPr="00711AF9">
        <w:t>N</w:t>
      </w:r>
      <w:r>
        <w:t>o”</w:t>
      </w:r>
      <w:r w:rsidRPr="00711AF9">
        <w:t xml:space="preserve"> if the RTU does not have an economizer or has a</w:t>
      </w:r>
      <w:r>
        <w:t>n</w:t>
      </w:r>
      <w:r w:rsidRPr="00711AF9">
        <w:t xml:space="preserve"> </w:t>
      </w:r>
      <w:r>
        <w:t>economizer that is controlled by the RTU controller</w:t>
      </w:r>
      <w:r w:rsidRPr="00711AF9">
        <w:t>.</w:t>
      </w:r>
    </w:p>
    <w:p w14:paraId="08F78502" w14:textId="77777777" w:rsidR="007E493D" w:rsidRPr="00711AF9" w:rsidRDefault="007E493D" w:rsidP="007E493D">
      <w:pPr>
        <w:pStyle w:val="ListBullet"/>
        <w:ind w:left="720"/>
      </w:pPr>
      <w:r w:rsidRPr="00711AF9">
        <w:t xml:space="preserve">Economizer Switchover Temperature </w:t>
      </w:r>
      <w:r>
        <w:t>Setpoint</w:t>
      </w:r>
      <w:r w:rsidRPr="00711AF9">
        <w:t xml:space="preserve"> – </w:t>
      </w:r>
      <w:r>
        <w:t>t</w:t>
      </w:r>
      <w:r w:rsidRPr="00711AF9">
        <w:t>he outdoor-air temperature below which the economizer system will be enabled.</w:t>
      </w:r>
    </w:p>
    <w:p w14:paraId="1AB658D9" w14:textId="77777777" w:rsidR="007E493D" w:rsidRPr="00711AF9" w:rsidRDefault="007E493D" w:rsidP="007E493D">
      <w:pPr>
        <w:pStyle w:val="ListBullet"/>
        <w:ind w:left="720"/>
      </w:pPr>
      <w:r w:rsidRPr="00711AF9">
        <w:t>Compressor Cooling Lockout Temperature</w:t>
      </w:r>
      <w:r>
        <w:t>: F</w:t>
      </w:r>
      <w:r w:rsidRPr="00711AF9">
        <w:t>or RTUs with economizers, if the outdoor-</w:t>
      </w:r>
      <w:r>
        <w:t>a</w:t>
      </w:r>
      <w:r w:rsidRPr="00711AF9">
        <w:t>ir temperature is lower than this value, the AEMS system will disable (lockout) the use of mechanical cooling.</w:t>
      </w:r>
    </w:p>
    <w:p w14:paraId="607B3C5F" w14:textId="77777777" w:rsidR="007E493D" w:rsidRPr="003E362D" w:rsidRDefault="007E493D" w:rsidP="007E493D">
      <w:pPr>
        <w:pStyle w:val="BodyText"/>
      </w:pPr>
      <w:r>
        <w:lastRenderedPageBreak/>
        <w:t xml:space="preserve">When changes are made in the AEMS web UI, make sure to click the save icon in the right corner of the web browser. A green check mark indicates that the changes were successfully communicated to the thermostat. </w:t>
      </w:r>
    </w:p>
    <w:p w14:paraId="72C7E38C" w14:textId="77777777" w:rsidR="007E493D" w:rsidRDefault="007E493D" w:rsidP="007E493D">
      <w:pPr>
        <w:pStyle w:val="Heading2"/>
      </w:pPr>
      <w:bookmarkStart w:id="37" w:name="_Ref162271812"/>
      <w:bookmarkStart w:id="38" w:name="_Toc162272989"/>
      <w:r>
        <w:t>Grid Service Features Configuration</w:t>
      </w:r>
      <w:bookmarkEnd w:id="37"/>
      <w:bookmarkEnd w:id="38"/>
    </w:p>
    <w:p w14:paraId="7971664B" w14:textId="77777777" w:rsidR="007E493D" w:rsidRPr="00267BFC" w:rsidRDefault="007E493D" w:rsidP="007E493D">
      <w:pPr>
        <w:pStyle w:val="BodyText"/>
      </w:pPr>
      <w:r>
        <w:t>The following sections describe how to configure the ILC algorithm within the AEMS web UI.</w:t>
      </w:r>
    </w:p>
    <w:p w14:paraId="0E6E55F1" w14:textId="77777777" w:rsidR="007E493D" w:rsidRDefault="007E493D" w:rsidP="007E493D">
      <w:pPr>
        <w:pStyle w:val="Heading3"/>
      </w:pPr>
      <w:bookmarkStart w:id="39" w:name="_Ref160525398"/>
      <w:bookmarkStart w:id="40" w:name="_Toc162272990"/>
      <w:r>
        <w:t>Intelligent Load Control</w:t>
      </w:r>
      <w:bookmarkEnd w:id="39"/>
      <w:bookmarkEnd w:id="40"/>
    </w:p>
    <w:p w14:paraId="39E3BA6B" w14:textId="77777777" w:rsidR="007E493D" w:rsidRPr="00FD407E" w:rsidRDefault="007E493D" w:rsidP="007E493D">
      <w:pPr>
        <w:pStyle w:val="BodyText"/>
        <w:rPr>
          <w:rFonts w:cstheme="minorHAnsi"/>
        </w:rPr>
      </w:pPr>
      <w:r w:rsidRPr="00FD407E">
        <w:rPr>
          <w:rFonts w:cstheme="minorHAnsi"/>
        </w:rPr>
        <w:t xml:space="preserve">ILC is an algorithm, or a set of actions, deployed via VOLTTRON, a distributed sensing and controls platform. </w:t>
      </w:r>
      <w:r w:rsidRPr="00736ED7">
        <w:t>The</w:t>
      </w:r>
      <w:r w:rsidRPr="00FD407E">
        <w:rPr>
          <w:rFonts w:cstheme="minorHAnsi"/>
        </w:rPr>
        <w:t xml:space="preserve"> ILC process can automatically adjust building energy use by coordinating HVAC systems, lights, and other building functions, while maintaining occupant comfort. In addition to bringing flexibility and responsiveness to building energy consumption, ILC benefits the grid by turning buildings into resources that </w:t>
      </w:r>
      <w:r>
        <w:rPr>
          <w:rFonts w:cstheme="minorHAnsi"/>
        </w:rPr>
        <w:t>help</w:t>
      </w:r>
      <w:r w:rsidRPr="00FD407E">
        <w:rPr>
          <w:rFonts w:cstheme="minorHAnsi"/>
        </w:rPr>
        <w:t xml:space="preserve"> balanc</w:t>
      </w:r>
      <w:r>
        <w:rPr>
          <w:rFonts w:cstheme="minorHAnsi"/>
        </w:rPr>
        <w:t>e</w:t>
      </w:r>
      <w:r w:rsidRPr="00FD407E">
        <w:rPr>
          <w:rFonts w:cstheme="minorHAnsi"/>
        </w:rPr>
        <w:t xml:space="preserve"> electricity supply and demand. This will help address some of the challenges of adding intermittent resources such as wind and solar power to the energy supply mix. ILC employs Analytic Hierarchy Process (AHP)—a method of prioritizing actions to achieve the best results</w:t>
      </w:r>
      <w:r>
        <w:rPr>
          <w:rFonts w:cstheme="minorHAnsi"/>
        </w:rPr>
        <w:t>. Much of the ILC configuration process is automated; however, the user must provide some information, which is described in this section.</w:t>
      </w:r>
    </w:p>
    <w:p w14:paraId="707379BA" w14:textId="77777777" w:rsidR="007E493D" w:rsidRDefault="007E493D" w:rsidP="007E493D">
      <w:pPr>
        <w:pStyle w:val="Heading3"/>
      </w:pPr>
      <w:bookmarkStart w:id="41" w:name="_Toc162272991"/>
      <w:r>
        <w:t>ILC Configuration</w:t>
      </w:r>
      <w:bookmarkEnd w:id="41"/>
    </w:p>
    <w:p w14:paraId="1911D320" w14:textId="6487F2C6" w:rsidR="007E493D" w:rsidRPr="00EF3819" w:rsidRDefault="007E493D" w:rsidP="007E493D">
      <w:pPr>
        <w:pStyle w:val="BodyText"/>
      </w:pPr>
      <w:r>
        <w:t>To configure ILC, first select the ILC option in the top right corner of the web browser (</w:t>
      </w:r>
      <w:r>
        <w:fldChar w:fldCharType="begin"/>
      </w:r>
      <w:r>
        <w:instrText xml:space="preserve"> REF _Ref160095564 \h </w:instrText>
      </w:r>
      <w:r>
        <w:fldChar w:fldCharType="separate"/>
      </w:r>
      <w:r w:rsidR="00041BBF">
        <w:t xml:space="preserve">Figure </w:t>
      </w:r>
      <w:r w:rsidR="00041BBF">
        <w:rPr>
          <w:noProof/>
        </w:rPr>
        <w:t>14</w:t>
      </w:r>
      <w:r>
        <w:fldChar w:fldCharType="end"/>
      </w:r>
      <w:r>
        <w:t>):</w:t>
      </w:r>
    </w:p>
    <w:p w14:paraId="5BDD4485" w14:textId="77777777" w:rsidR="007E493D" w:rsidRDefault="007E493D" w:rsidP="007E493D">
      <w:pPr>
        <w:pStyle w:val="Figure"/>
      </w:pPr>
      <w:r>
        <w:rPr>
          <w:noProof/>
        </w:rPr>
        <w:drawing>
          <wp:inline distT="0" distB="0" distL="0" distR="0" wp14:anchorId="3E9B8228" wp14:editId="6EDD18D0">
            <wp:extent cx="5943600" cy="32486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48660"/>
                    </a:xfrm>
                    <a:prstGeom prst="rect">
                      <a:avLst/>
                    </a:prstGeom>
                  </pic:spPr>
                </pic:pic>
              </a:graphicData>
            </a:graphic>
          </wp:inline>
        </w:drawing>
      </w:r>
    </w:p>
    <w:p w14:paraId="529A909C" w14:textId="6BC5FCB8" w:rsidR="007E493D" w:rsidRPr="007F5010" w:rsidRDefault="007E493D" w:rsidP="007E493D">
      <w:pPr>
        <w:pStyle w:val="Caption-Fig"/>
        <w:ind w:left="1109" w:hanging="1109"/>
        <w:jc w:val="center"/>
      </w:pPr>
      <w:bookmarkStart w:id="42" w:name="_Ref160095564"/>
      <w:bookmarkStart w:id="43" w:name="_Toc162273027"/>
      <w:r>
        <w:t xml:space="preserve">Figure </w:t>
      </w:r>
      <w:r>
        <w:fldChar w:fldCharType="begin"/>
      </w:r>
      <w:r>
        <w:instrText xml:space="preserve"> SEQ Figure \* ARABIC </w:instrText>
      </w:r>
      <w:r>
        <w:fldChar w:fldCharType="separate"/>
      </w:r>
      <w:r w:rsidR="00041BBF">
        <w:rPr>
          <w:noProof/>
        </w:rPr>
        <w:t>14</w:t>
      </w:r>
      <w:r>
        <w:rPr>
          <w:noProof/>
        </w:rPr>
        <w:fldChar w:fldCharType="end"/>
      </w:r>
      <w:bookmarkEnd w:id="42"/>
      <w:r>
        <w:t>.</w:t>
      </w:r>
      <w:r w:rsidR="008C6DCB">
        <w:t xml:space="preserve"> </w:t>
      </w:r>
      <w:r>
        <w:t>AEMS web interface – ILC configuration.</w:t>
      </w:r>
      <w:bookmarkEnd w:id="43"/>
      <w:r>
        <w:t xml:space="preserve"> </w:t>
      </w:r>
    </w:p>
    <w:p w14:paraId="0EAA98E7" w14:textId="77777777" w:rsidR="007E493D" w:rsidRDefault="007E493D" w:rsidP="007E493D">
      <w:pPr>
        <w:pStyle w:val="BodyText"/>
        <w:keepLines/>
      </w:pPr>
      <w:r>
        <w:lastRenderedPageBreak/>
        <w:t>This view exposes the RTUs that are configurable for GSs as well as the global override setting (‘Participate in Grid Services’). If the entire building wants to opt out of GSs, set “Participate in Grid Services” to “No” and click the save button to send that information to ILC running on the edge device. Note that if the global override is enabled, the RTUs settings under “Units” will disappear.</w:t>
      </w:r>
    </w:p>
    <w:p w14:paraId="41B87C6E" w14:textId="745B842C" w:rsidR="007E493D" w:rsidRDefault="007E493D" w:rsidP="007E493D">
      <w:pPr>
        <w:pStyle w:val="BodyText"/>
      </w:pPr>
      <w:r>
        <w:t>If “Participate in Grid Services” is set to “Yes”, you can click on the RTU listed under “Units” to configure the RTU for GSs (</w:t>
      </w:r>
      <w:r>
        <w:fldChar w:fldCharType="begin"/>
      </w:r>
      <w:r>
        <w:instrText xml:space="preserve"> REF _Ref160102844 \h </w:instrText>
      </w:r>
      <w:r>
        <w:fldChar w:fldCharType="separate"/>
      </w:r>
      <w:r w:rsidR="00041BBF">
        <w:t xml:space="preserve">Figure </w:t>
      </w:r>
      <w:r w:rsidR="00041BBF">
        <w:rPr>
          <w:noProof/>
        </w:rPr>
        <w:t>15</w:t>
      </w:r>
      <w:r>
        <w:fldChar w:fldCharType="end"/>
      </w:r>
      <w:r>
        <w:t>):</w:t>
      </w:r>
    </w:p>
    <w:p w14:paraId="5D8A6FBC" w14:textId="77777777" w:rsidR="007E493D" w:rsidRDefault="007E493D" w:rsidP="007E493D">
      <w:pPr>
        <w:pStyle w:val="Figure"/>
      </w:pPr>
      <w:r>
        <w:rPr>
          <w:noProof/>
        </w:rPr>
        <w:drawing>
          <wp:inline distT="0" distB="0" distL="0" distR="0" wp14:anchorId="330DCD10" wp14:editId="3380AF10">
            <wp:extent cx="5294489" cy="5630487"/>
            <wp:effectExtent l="0" t="0" r="190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5788" cy="5642503"/>
                    </a:xfrm>
                    <a:prstGeom prst="rect">
                      <a:avLst/>
                    </a:prstGeom>
                  </pic:spPr>
                </pic:pic>
              </a:graphicData>
            </a:graphic>
          </wp:inline>
        </w:drawing>
      </w:r>
    </w:p>
    <w:p w14:paraId="22ED6F18" w14:textId="55817C30" w:rsidR="007E493D" w:rsidRDefault="007E493D" w:rsidP="007E493D">
      <w:pPr>
        <w:pStyle w:val="Caption-Fig"/>
        <w:ind w:left="1109" w:hanging="1109"/>
        <w:jc w:val="center"/>
      </w:pPr>
      <w:bookmarkStart w:id="44" w:name="_Ref160102844"/>
      <w:bookmarkStart w:id="45" w:name="_Toc162273028"/>
      <w:r>
        <w:t xml:space="preserve">Figure </w:t>
      </w:r>
      <w:r>
        <w:fldChar w:fldCharType="begin"/>
      </w:r>
      <w:r>
        <w:instrText xml:space="preserve"> SEQ Figure \* ARABIC </w:instrText>
      </w:r>
      <w:r>
        <w:fldChar w:fldCharType="separate"/>
      </w:r>
      <w:r w:rsidR="00041BBF">
        <w:rPr>
          <w:noProof/>
        </w:rPr>
        <w:t>15</w:t>
      </w:r>
      <w:r>
        <w:rPr>
          <w:noProof/>
        </w:rPr>
        <w:fldChar w:fldCharType="end"/>
      </w:r>
      <w:bookmarkEnd w:id="44"/>
      <w:r>
        <w:t>.</w:t>
      </w:r>
      <w:r w:rsidR="008C6DCB">
        <w:t xml:space="preserve"> </w:t>
      </w:r>
      <w:r>
        <w:t>AEMS web interface – ILC unit configuration for “PNNL ROB SCHNEIDER” RTU.</w:t>
      </w:r>
      <w:bookmarkEnd w:id="45"/>
      <w:r>
        <w:t xml:space="preserve"> </w:t>
      </w:r>
    </w:p>
    <w:p w14:paraId="09CB9F7F" w14:textId="77777777" w:rsidR="007E493D" w:rsidRDefault="007E493D" w:rsidP="007E493D">
      <w:pPr>
        <w:pStyle w:val="BodyText"/>
        <w:keepNext/>
        <w:keepLines/>
      </w:pPr>
      <w:r>
        <w:lastRenderedPageBreak/>
        <w:t>The following is a list of configurable parameters for ILC:</w:t>
      </w:r>
    </w:p>
    <w:p w14:paraId="63B29251" w14:textId="77777777" w:rsidR="007E493D" w:rsidRPr="00996577" w:rsidRDefault="007E493D" w:rsidP="007E493D">
      <w:pPr>
        <w:pStyle w:val="ListBullet"/>
        <w:keepNext/>
        <w:keepLines/>
        <w:ind w:left="720"/>
      </w:pPr>
      <w:r w:rsidRPr="00996577">
        <w:t>Participate in Grid Services</w:t>
      </w:r>
      <w:r>
        <w:t>:</w:t>
      </w:r>
      <w:r w:rsidRPr="00996577">
        <w:t xml:space="preserve"> </w:t>
      </w:r>
      <w:r>
        <w:t>D</w:t>
      </w:r>
      <w:r w:rsidRPr="00996577">
        <w:t xml:space="preserve">evice GS override. If this RTU </w:t>
      </w:r>
      <w:r>
        <w:t>does</w:t>
      </w:r>
      <w:r w:rsidRPr="00996577">
        <w:t xml:space="preserve"> not </w:t>
      </w:r>
      <w:r>
        <w:t xml:space="preserve">want to </w:t>
      </w:r>
      <w:r w:rsidRPr="00996577">
        <w:t>participate in GSs</w:t>
      </w:r>
      <w:r>
        <w:t>,</w:t>
      </w:r>
      <w:r w:rsidRPr="00996577">
        <w:t xml:space="preserve"> </w:t>
      </w:r>
      <w:r>
        <w:t>s</w:t>
      </w:r>
      <w:r w:rsidRPr="00996577">
        <w:t xml:space="preserve">elect </w:t>
      </w:r>
      <w:r>
        <w:t>“</w:t>
      </w:r>
      <w:r w:rsidRPr="00996577">
        <w:t>No</w:t>
      </w:r>
      <w:r>
        <w:t>”;</w:t>
      </w:r>
      <w:r w:rsidRPr="00996577">
        <w:t xml:space="preserve"> otherwise, select </w:t>
      </w:r>
      <w:r>
        <w:t>“</w:t>
      </w:r>
      <w:r w:rsidRPr="00996577">
        <w:t>Yes</w:t>
      </w:r>
      <w:r>
        <w:t>”</w:t>
      </w:r>
      <w:r w:rsidRPr="00996577">
        <w:t>.</w:t>
      </w:r>
    </w:p>
    <w:p w14:paraId="54A41CB1" w14:textId="77777777" w:rsidR="007E493D" w:rsidRPr="00996577" w:rsidRDefault="007E493D" w:rsidP="007E493D">
      <w:pPr>
        <w:pStyle w:val="ListBullet"/>
        <w:ind w:left="720"/>
      </w:pPr>
      <w:r w:rsidRPr="00996577">
        <w:t xml:space="preserve">Setpoint Offset During Grid Services – </w:t>
      </w:r>
      <w:r>
        <w:t>acceptable deviation of</w:t>
      </w:r>
      <w:r w:rsidRPr="00996577">
        <w:t xml:space="preserve"> the heating or cooling </w:t>
      </w:r>
      <w:r>
        <w:t>setpoint</w:t>
      </w:r>
      <w:r w:rsidRPr="00996577">
        <w:t xml:space="preserve"> </w:t>
      </w:r>
      <w:r>
        <w:t xml:space="preserve">during peak load management or GS event. </w:t>
      </w:r>
    </w:p>
    <w:p w14:paraId="36EDA863" w14:textId="77777777" w:rsidR="007E493D" w:rsidRPr="00996577" w:rsidRDefault="007E493D" w:rsidP="007E493D">
      <w:pPr>
        <w:pStyle w:val="ListBullet"/>
        <w:ind w:left="720"/>
      </w:pPr>
      <w:r w:rsidRPr="00996577">
        <w:t>Zone Location</w:t>
      </w:r>
      <w:r>
        <w:t>:</w:t>
      </w:r>
      <w:r w:rsidRPr="00996577">
        <w:t xml:space="preserve"> </w:t>
      </w:r>
      <w:r>
        <w:t>S</w:t>
      </w:r>
      <w:r w:rsidRPr="00996577">
        <w:t>elect whether the RTU serves an exterior (perimeter) space or is in the interior of the building.</w:t>
      </w:r>
    </w:p>
    <w:p w14:paraId="5661C1FE" w14:textId="77777777" w:rsidR="007E493D" w:rsidRPr="00996577" w:rsidRDefault="007E493D" w:rsidP="007E493D">
      <w:pPr>
        <w:pStyle w:val="ListBullet"/>
        <w:ind w:left="720"/>
      </w:pPr>
      <w:r w:rsidRPr="00996577">
        <w:t>Zone Mass</w:t>
      </w:r>
      <w:r>
        <w:t>: E</w:t>
      </w:r>
      <w:r w:rsidRPr="00996577">
        <w:t xml:space="preserve">stimate of the building construction and thermal mass (i.e., </w:t>
      </w:r>
      <w:r>
        <w:t>l</w:t>
      </w:r>
      <w:r w:rsidRPr="00996577">
        <w:t xml:space="preserve">ow, </w:t>
      </w:r>
      <w:r>
        <w:t>m</w:t>
      </w:r>
      <w:r w:rsidRPr="00996577">
        <w:t xml:space="preserve">edium, or </w:t>
      </w:r>
      <w:r>
        <w:t>h</w:t>
      </w:r>
      <w:r w:rsidRPr="00996577">
        <w:t>igh).</w:t>
      </w:r>
      <w:r>
        <w:t xml:space="preserve"> If not known, select “Low.”</w:t>
      </w:r>
    </w:p>
    <w:p w14:paraId="7F5C19EA" w14:textId="77777777" w:rsidR="007E493D" w:rsidRPr="00996577" w:rsidRDefault="007E493D" w:rsidP="007E493D">
      <w:pPr>
        <w:pStyle w:val="ListBullet"/>
        <w:ind w:left="720"/>
      </w:pPr>
      <w:r w:rsidRPr="00996577">
        <w:t>Zone Orientation</w:t>
      </w:r>
      <w:r>
        <w:t>:</w:t>
      </w:r>
      <w:r w:rsidRPr="00996577">
        <w:t xml:space="preserve"> </w:t>
      </w:r>
      <w:r>
        <w:t>Z</w:t>
      </w:r>
      <w:r w:rsidRPr="00996577">
        <w:t>one cardinal orientation.</w:t>
      </w:r>
    </w:p>
    <w:p w14:paraId="0B5B34C0" w14:textId="77777777" w:rsidR="007E493D" w:rsidRPr="00996577" w:rsidRDefault="007E493D" w:rsidP="007E493D">
      <w:pPr>
        <w:pStyle w:val="ListBullet"/>
        <w:ind w:left="720"/>
      </w:pPr>
      <w:r w:rsidRPr="00996577">
        <w:t>Zone Type</w:t>
      </w:r>
      <w:r>
        <w:t>:</w:t>
      </w:r>
      <w:r w:rsidRPr="00996577">
        <w:t xml:space="preserve"> </w:t>
      </w:r>
      <w:r>
        <w:t>T</w:t>
      </w:r>
      <w:r w:rsidRPr="00996577">
        <w:t xml:space="preserve">ype of space served by </w:t>
      </w:r>
      <w:r>
        <w:t xml:space="preserve">the </w:t>
      </w:r>
      <w:r w:rsidRPr="00996577">
        <w:t>RTU (e.g., Office, Computer Lab, Mechanical Room).</w:t>
      </w:r>
    </w:p>
    <w:p w14:paraId="45035E46" w14:textId="77777777" w:rsidR="007E493D" w:rsidRPr="00996577" w:rsidRDefault="007E493D" w:rsidP="007E493D">
      <w:pPr>
        <w:pStyle w:val="ListBullet"/>
        <w:ind w:left="720"/>
      </w:pPr>
      <w:r w:rsidRPr="00996577">
        <w:t>Rated Cooling Capacity</w:t>
      </w:r>
      <w:r>
        <w:t>:</w:t>
      </w:r>
      <w:r w:rsidRPr="00996577">
        <w:t xml:space="preserve"> </w:t>
      </w:r>
      <w:r>
        <w:t>T</w:t>
      </w:r>
      <w:r w:rsidRPr="00996577">
        <w:t>he nominal tonnage of the RTU/HP.</w:t>
      </w:r>
    </w:p>
    <w:p w14:paraId="2D4489EF" w14:textId="77777777" w:rsidR="007E493D" w:rsidRPr="00996577" w:rsidRDefault="007E493D" w:rsidP="007E493D">
      <w:pPr>
        <w:pStyle w:val="ListBullet"/>
        <w:ind w:left="720"/>
      </w:pPr>
      <w:r w:rsidRPr="00996577">
        <w:t>Number of Compressors</w:t>
      </w:r>
      <w:r>
        <w:t>:</w:t>
      </w:r>
      <w:r w:rsidRPr="00996577">
        <w:t xml:space="preserve"> </w:t>
      </w:r>
      <w:r>
        <w:t>N</w:t>
      </w:r>
      <w:r w:rsidRPr="00996577">
        <w:t>umber of compressors for the RTU/HP.</w:t>
      </w:r>
    </w:p>
    <w:p w14:paraId="396C5BE2" w14:textId="77777777" w:rsidR="007E493D" w:rsidRPr="00996577" w:rsidRDefault="007E493D" w:rsidP="007E493D">
      <w:pPr>
        <w:pStyle w:val="ListBullet"/>
        <w:ind w:left="720"/>
      </w:pPr>
      <w:r w:rsidRPr="00996577">
        <w:t>Heat Pump Electric Backup Capacity</w:t>
      </w:r>
      <w:r>
        <w:t>:</w:t>
      </w:r>
      <w:r w:rsidRPr="00996577">
        <w:t xml:space="preserve"> </w:t>
      </w:r>
      <w:r>
        <w:t>K</w:t>
      </w:r>
      <w:r w:rsidRPr="00996577">
        <w:t>ilowatt rating for the electric furnace for the RTU/HP.</w:t>
      </w:r>
    </w:p>
    <w:p w14:paraId="0D0DC093" w14:textId="77777777" w:rsidR="007E493D" w:rsidRPr="003E362D" w:rsidRDefault="007E493D" w:rsidP="007E493D">
      <w:pPr>
        <w:pStyle w:val="BodyText"/>
      </w:pPr>
      <w:r>
        <w:t xml:space="preserve">When changes are made in the AEMS web UI, make sure to click the save icon in the right corner of the web browser. A green check mark indicates that the changes were successfully communicated to ILC. </w:t>
      </w:r>
    </w:p>
    <w:p w14:paraId="63A18837" w14:textId="77777777" w:rsidR="00654573" w:rsidRDefault="00654573"/>
    <w:sectPr w:rsidR="006545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E6B59"/>
    <w:multiLevelType w:val="multilevel"/>
    <w:tmpl w:val="48369EBA"/>
    <w:lvl w:ilvl="0">
      <w:start w:val="1"/>
      <w:numFmt w:val="decimal"/>
      <w:pStyle w:val="Heading1"/>
      <w:lvlText w:val="%1.0"/>
      <w:lvlJc w:val="left"/>
      <w:pPr>
        <w:ind w:left="432" w:hanging="432"/>
      </w:pPr>
      <w:rPr>
        <w:rFonts w:hint="default"/>
        <w:b/>
        <w:i w:val="0"/>
        <w:caps w:val="0"/>
        <w:strike w:val="0"/>
        <w:dstrike w:val="0"/>
        <w:vanish w:val="0"/>
        <w:color w:val="44546A" w:themeColor="text2"/>
        <w:sz w:val="32"/>
        <w:vertAlign w:val="baseline"/>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b/>
        <w:i w:val="0"/>
        <w:caps w:val="0"/>
        <w:smallCaps w:val="0"/>
        <w:strike w:val="0"/>
        <w:vanish w:val="0"/>
        <w:spacing w:val="0"/>
        <w:u w:val="no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6097497E"/>
    <w:multiLevelType w:val="hybridMultilevel"/>
    <w:tmpl w:val="3AE0306E"/>
    <w:lvl w:ilvl="0" w:tplc="4080029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9150130">
    <w:abstractNumId w:val="0"/>
  </w:num>
  <w:num w:numId="2" w16cid:durableId="16399130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93D"/>
    <w:rsid w:val="00010ACD"/>
    <w:rsid w:val="00041BBF"/>
    <w:rsid w:val="000A2A31"/>
    <w:rsid w:val="00124501"/>
    <w:rsid w:val="00180130"/>
    <w:rsid w:val="00183EAB"/>
    <w:rsid w:val="001D53E5"/>
    <w:rsid w:val="001F4A16"/>
    <w:rsid w:val="00226402"/>
    <w:rsid w:val="003D5F1B"/>
    <w:rsid w:val="00484055"/>
    <w:rsid w:val="0057231E"/>
    <w:rsid w:val="00600E61"/>
    <w:rsid w:val="00654573"/>
    <w:rsid w:val="007E493D"/>
    <w:rsid w:val="008C6DCB"/>
    <w:rsid w:val="00A40479"/>
    <w:rsid w:val="00B441AA"/>
    <w:rsid w:val="00CE3BE8"/>
    <w:rsid w:val="00D06AEB"/>
    <w:rsid w:val="00EC0568"/>
    <w:rsid w:val="00FE3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9CE0FE"/>
  <w15:chartTrackingRefBased/>
  <w15:docId w15:val="{DBBE2F55-CC56-488E-AE8E-45414772E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93D"/>
    <w:pPr>
      <w:tabs>
        <w:tab w:val="left" w:pos="360"/>
        <w:tab w:val="left" w:pos="720"/>
        <w:tab w:val="left" w:pos="1080"/>
      </w:tabs>
      <w:spacing w:after="0" w:line="240" w:lineRule="auto"/>
    </w:pPr>
    <w:rPr>
      <w:rFonts w:eastAsia="Times New Roman" w:cs="Times New Roman"/>
      <w:kern w:val="0"/>
      <w14:ligatures w14:val="none"/>
    </w:rPr>
  </w:style>
  <w:style w:type="paragraph" w:styleId="Heading1">
    <w:name w:val="heading 1"/>
    <w:next w:val="BodyText"/>
    <w:link w:val="Heading1Char"/>
    <w:uiPriority w:val="1"/>
    <w:qFormat/>
    <w:rsid w:val="007E493D"/>
    <w:pPr>
      <w:keepNext/>
      <w:pageBreakBefore/>
      <w:numPr>
        <w:numId w:val="1"/>
      </w:numPr>
      <w:spacing w:before="360" w:after="240" w:line="240" w:lineRule="auto"/>
      <w:outlineLvl w:val="0"/>
    </w:pPr>
    <w:rPr>
      <w:rFonts w:asciiTheme="majorHAnsi" w:eastAsia="Times New Roman" w:hAnsiTheme="majorHAnsi" w:cs="Times New Roman"/>
      <w:b/>
      <w:color w:val="44546A" w:themeColor="text2"/>
      <w:kern w:val="28"/>
      <w:sz w:val="32"/>
      <w14:ligatures w14:val="none"/>
    </w:rPr>
  </w:style>
  <w:style w:type="paragraph" w:styleId="Heading2">
    <w:name w:val="heading 2"/>
    <w:basedOn w:val="Heading1"/>
    <w:next w:val="BodyText"/>
    <w:link w:val="Heading2Char"/>
    <w:uiPriority w:val="9"/>
    <w:qFormat/>
    <w:rsid w:val="007E493D"/>
    <w:pPr>
      <w:pageBreakBefore w:val="0"/>
      <w:numPr>
        <w:ilvl w:val="1"/>
      </w:numPr>
      <w:spacing w:before="240" w:after="0"/>
      <w:outlineLvl w:val="1"/>
    </w:pPr>
    <w:rPr>
      <w:sz w:val="28"/>
    </w:rPr>
  </w:style>
  <w:style w:type="paragraph" w:styleId="Heading3">
    <w:name w:val="heading 3"/>
    <w:basedOn w:val="Heading2"/>
    <w:next w:val="BodyText"/>
    <w:link w:val="Heading3Char"/>
    <w:uiPriority w:val="1"/>
    <w:qFormat/>
    <w:rsid w:val="007E493D"/>
    <w:pPr>
      <w:numPr>
        <w:ilvl w:val="2"/>
      </w:numPr>
      <w:outlineLvl w:val="2"/>
    </w:pPr>
    <w:rPr>
      <w:sz w:val="24"/>
    </w:rPr>
  </w:style>
  <w:style w:type="paragraph" w:styleId="Heading4">
    <w:name w:val="heading 4"/>
    <w:basedOn w:val="Heading3"/>
    <w:next w:val="BodyText"/>
    <w:link w:val="Heading4Char"/>
    <w:uiPriority w:val="1"/>
    <w:qFormat/>
    <w:rsid w:val="007E493D"/>
    <w:pPr>
      <w:numPr>
        <w:ilvl w:val="3"/>
      </w:numPr>
      <w:outlineLvl w:val="3"/>
    </w:pPr>
    <w:rPr>
      <w:sz w:val="22"/>
    </w:rPr>
  </w:style>
  <w:style w:type="paragraph" w:styleId="Heading5">
    <w:name w:val="heading 5"/>
    <w:basedOn w:val="Heading4"/>
    <w:next w:val="Normal"/>
    <w:link w:val="Heading5Char"/>
    <w:uiPriority w:val="1"/>
    <w:qFormat/>
    <w:rsid w:val="007E493D"/>
    <w:pPr>
      <w:numPr>
        <w:ilvl w:val="4"/>
      </w:numPr>
      <w:outlineLvl w:val="4"/>
    </w:pPr>
  </w:style>
  <w:style w:type="paragraph" w:styleId="Heading6">
    <w:name w:val="heading 6"/>
    <w:basedOn w:val="Normal"/>
    <w:next w:val="BodyText"/>
    <w:link w:val="Heading6Char"/>
    <w:uiPriority w:val="1"/>
    <w:qFormat/>
    <w:rsid w:val="007E493D"/>
    <w:pPr>
      <w:numPr>
        <w:ilvl w:val="5"/>
        <w:numId w:val="1"/>
      </w:numPr>
      <w:tabs>
        <w:tab w:val="clear" w:pos="360"/>
        <w:tab w:val="clear" w:pos="720"/>
      </w:tabs>
      <w:spacing w:after="240"/>
      <w:jc w:val="center"/>
      <w:outlineLvl w:val="5"/>
    </w:pPr>
    <w:rPr>
      <w:rFonts w:asciiTheme="majorHAnsi" w:hAnsiTheme="majorHAnsi"/>
      <w:b/>
      <w:color w:val="44546A" w:themeColor="text2"/>
      <w:sz w:val="32"/>
    </w:rPr>
  </w:style>
  <w:style w:type="paragraph" w:styleId="Heading7">
    <w:name w:val="heading 7"/>
    <w:basedOn w:val="Heading2"/>
    <w:next w:val="BodyText"/>
    <w:link w:val="Heading7Char"/>
    <w:uiPriority w:val="1"/>
    <w:qFormat/>
    <w:rsid w:val="007E493D"/>
    <w:pPr>
      <w:numPr>
        <w:ilvl w:val="6"/>
      </w:numPr>
      <w:outlineLvl w:val="6"/>
    </w:pPr>
  </w:style>
  <w:style w:type="paragraph" w:styleId="Heading8">
    <w:name w:val="heading 8"/>
    <w:basedOn w:val="Heading4"/>
    <w:next w:val="BodyText"/>
    <w:link w:val="Heading8Char"/>
    <w:uiPriority w:val="1"/>
    <w:qFormat/>
    <w:rsid w:val="007E493D"/>
    <w:pPr>
      <w:numPr>
        <w:ilvl w:val="7"/>
      </w:numPr>
      <w:outlineLvl w:val="7"/>
    </w:pPr>
    <w:rPr>
      <w:sz w:val="24"/>
    </w:rPr>
  </w:style>
  <w:style w:type="paragraph" w:styleId="Heading9">
    <w:name w:val="heading 9"/>
    <w:basedOn w:val="Heading4"/>
    <w:next w:val="BodyText"/>
    <w:link w:val="Heading9Char"/>
    <w:uiPriority w:val="1"/>
    <w:qFormat/>
    <w:rsid w:val="007E493D"/>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E493D"/>
    <w:rPr>
      <w:rFonts w:asciiTheme="majorHAnsi" w:eastAsia="Times New Roman" w:hAnsiTheme="majorHAnsi" w:cs="Times New Roman"/>
      <w:b/>
      <w:color w:val="44546A" w:themeColor="text2"/>
      <w:kern w:val="28"/>
      <w:sz w:val="32"/>
      <w14:ligatures w14:val="none"/>
    </w:rPr>
  </w:style>
  <w:style w:type="character" w:customStyle="1" w:styleId="Heading2Char">
    <w:name w:val="Heading 2 Char"/>
    <w:basedOn w:val="DefaultParagraphFont"/>
    <w:link w:val="Heading2"/>
    <w:uiPriority w:val="9"/>
    <w:rsid w:val="007E493D"/>
    <w:rPr>
      <w:rFonts w:asciiTheme="majorHAnsi" w:eastAsia="Times New Roman" w:hAnsiTheme="majorHAnsi" w:cs="Times New Roman"/>
      <w:b/>
      <w:color w:val="44546A" w:themeColor="text2"/>
      <w:kern w:val="28"/>
      <w:sz w:val="28"/>
      <w14:ligatures w14:val="none"/>
    </w:rPr>
  </w:style>
  <w:style w:type="character" w:customStyle="1" w:styleId="Heading3Char">
    <w:name w:val="Heading 3 Char"/>
    <w:basedOn w:val="DefaultParagraphFont"/>
    <w:link w:val="Heading3"/>
    <w:uiPriority w:val="1"/>
    <w:rsid w:val="007E493D"/>
    <w:rPr>
      <w:rFonts w:asciiTheme="majorHAnsi" w:eastAsia="Times New Roman" w:hAnsiTheme="majorHAnsi" w:cs="Times New Roman"/>
      <w:b/>
      <w:color w:val="44546A" w:themeColor="text2"/>
      <w:kern w:val="28"/>
      <w:sz w:val="24"/>
      <w14:ligatures w14:val="none"/>
    </w:rPr>
  </w:style>
  <w:style w:type="character" w:customStyle="1" w:styleId="Heading4Char">
    <w:name w:val="Heading 4 Char"/>
    <w:basedOn w:val="DefaultParagraphFont"/>
    <w:link w:val="Heading4"/>
    <w:uiPriority w:val="1"/>
    <w:rsid w:val="007E493D"/>
    <w:rPr>
      <w:rFonts w:asciiTheme="majorHAnsi" w:eastAsia="Times New Roman" w:hAnsiTheme="majorHAnsi" w:cs="Times New Roman"/>
      <w:b/>
      <w:color w:val="44546A" w:themeColor="text2"/>
      <w:kern w:val="28"/>
      <w14:ligatures w14:val="none"/>
    </w:rPr>
  </w:style>
  <w:style w:type="character" w:customStyle="1" w:styleId="Heading5Char">
    <w:name w:val="Heading 5 Char"/>
    <w:basedOn w:val="DefaultParagraphFont"/>
    <w:link w:val="Heading5"/>
    <w:uiPriority w:val="1"/>
    <w:rsid w:val="007E493D"/>
    <w:rPr>
      <w:rFonts w:asciiTheme="majorHAnsi" w:eastAsia="Times New Roman" w:hAnsiTheme="majorHAnsi" w:cs="Times New Roman"/>
      <w:b/>
      <w:color w:val="44546A" w:themeColor="text2"/>
      <w:kern w:val="28"/>
      <w14:ligatures w14:val="none"/>
    </w:rPr>
  </w:style>
  <w:style w:type="character" w:customStyle="1" w:styleId="Heading6Char">
    <w:name w:val="Heading 6 Char"/>
    <w:basedOn w:val="DefaultParagraphFont"/>
    <w:link w:val="Heading6"/>
    <w:uiPriority w:val="1"/>
    <w:rsid w:val="007E493D"/>
    <w:rPr>
      <w:rFonts w:asciiTheme="majorHAnsi" w:eastAsia="Times New Roman" w:hAnsiTheme="majorHAnsi" w:cs="Times New Roman"/>
      <w:b/>
      <w:color w:val="44546A" w:themeColor="text2"/>
      <w:kern w:val="0"/>
      <w:sz w:val="32"/>
      <w14:ligatures w14:val="none"/>
    </w:rPr>
  </w:style>
  <w:style w:type="character" w:customStyle="1" w:styleId="Heading7Char">
    <w:name w:val="Heading 7 Char"/>
    <w:basedOn w:val="DefaultParagraphFont"/>
    <w:link w:val="Heading7"/>
    <w:uiPriority w:val="1"/>
    <w:rsid w:val="007E493D"/>
    <w:rPr>
      <w:rFonts w:asciiTheme="majorHAnsi" w:eastAsia="Times New Roman" w:hAnsiTheme="majorHAnsi" w:cs="Times New Roman"/>
      <w:b/>
      <w:color w:val="44546A" w:themeColor="text2"/>
      <w:kern w:val="28"/>
      <w:sz w:val="28"/>
      <w14:ligatures w14:val="none"/>
    </w:rPr>
  </w:style>
  <w:style w:type="character" w:customStyle="1" w:styleId="Heading8Char">
    <w:name w:val="Heading 8 Char"/>
    <w:basedOn w:val="DefaultParagraphFont"/>
    <w:link w:val="Heading8"/>
    <w:uiPriority w:val="1"/>
    <w:rsid w:val="007E493D"/>
    <w:rPr>
      <w:rFonts w:asciiTheme="majorHAnsi" w:eastAsia="Times New Roman" w:hAnsiTheme="majorHAnsi" w:cs="Times New Roman"/>
      <w:b/>
      <w:color w:val="44546A" w:themeColor="text2"/>
      <w:kern w:val="28"/>
      <w:sz w:val="24"/>
      <w14:ligatures w14:val="none"/>
    </w:rPr>
  </w:style>
  <w:style w:type="character" w:customStyle="1" w:styleId="Heading9Char">
    <w:name w:val="Heading 9 Char"/>
    <w:basedOn w:val="DefaultParagraphFont"/>
    <w:link w:val="Heading9"/>
    <w:uiPriority w:val="1"/>
    <w:rsid w:val="007E493D"/>
    <w:rPr>
      <w:rFonts w:asciiTheme="majorHAnsi" w:eastAsia="Times New Roman" w:hAnsiTheme="majorHAnsi" w:cs="Times New Roman"/>
      <w:b/>
      <w:color w:val="44546A" w:themeColor="text2"/>
      <w:kern w:val="28"/>
      <w14:ligatures w14:val="none"/>
    </w:rPr>
  </w:style>
  <w:style w:type="paragraph" w:styleId="BodyText">
    <w:name w:val="Body Text"/>
    <w:basedOn w:val="Normal"/>
    <w:link w:val="BodyTextChar"/>
    <w:qFormat/>
    <w:rsid w:val="007E493D"/>
    <w:pPr>
      <w:spacing w:before="240"/>
    </w:pPr>
  </w:style>
  <w:style w:type="character" w:customStyle="1" w:styleId="BodyTextChar">
    <w:name w:val="Body Text Char"/>
    <w:basedOn w:val="DefaultParagraphFont"/>
    <w:link w:val="BodyText"/>
    <w:rsid w:val="007E493D"/>
    <w:rPr>
      <w:rFonts w:eastAsia="Times New Roman" w:cs="Times New Roman"/>
      <w:kern w:val="0"/>
      <w14:ligatures w14:val="none"/>
    </w:rPr>
  </w:style>
  <w:style w:type="paragraph" w:styleId="Caption">
    <w:name w:val="caption"/>
    <w:basedOn w:val="Normal"/>
    <w:next w:val="Normal"/>
    <w:uiPriority w:val="35"/>
    <w:qFormat/>
    <w:rsid w:val="007E493D"/>
    <w:pPr>
      <w:tabs>
        <w:tab w:val="clear" w:pos="360"/>
        <w:tab w:val="clear" w:pos="720"/>
        <w:tab w:val="clear" w:pos="1080"/>
      </w:tabs>
      <w:jc w:val="center"/>
    </w:pPr>
    <w:rPr>
      <w:color w:val="44546A" w:themeColor="text2"/>
    </w:rPr>
  </w:style>
  <w:style w:type="paragraph" w:customStyle="1" w:styleId="Caption-Fig">
    <w:name w:val="Caption-Fig"/>
    <w:basedOn w:val="Caption"/>
    <w:next w:val="Normal"/>
    <w:qFormat/>
    <w:rsid w:val="007E493D"/>
    <w:pPr>
      <w:spacing w:before="120" w:after="240"/>
      <w:ind w:left="990" w:hanging="990"/>
      <w:jc w:val="left"/>
    </w:pPr>
  </w:style>
  <w:style w:type="paragraph" w:styleId="ListBullet">
    <w:name w:val="List Bullet"/>
    <w:basedOn w:val="List"/>
    <w:qFormat/>
    <w:rsid w:val="007E493D"/>
    <w:pPr>
      <w:numPr>
        <w:numId w:val="2"/>
      </w:numPr>
      <w:tabs>
        <w:tab w:val="clear" w:pos="360"/>
        <w:tab w:val="clear" w:pos="1080"/>
      </w:tabs>
      <w:spacing w:before="120"/>
      <w:ind w:left="360"/>
      <w:contextualSpacing w:val="0"/>
    </w:pPr>
  </w:style>
  <w:style w:type="paragraph" w:customStyle="1" w:styleId="Figure">
    <w:name w:val="Figure"/>
    <w:basedOn w:val="Normal"/>
    <w:next w:val="Caption-Fig"/>
    <w:qFormat/>
    <w:rsid w:val="007E493D"/>
    <w:pPr>
      <w:keepNext/>
      <w:spacing w:before="240"/>
      <w:ind w:left="-720" w:right="-720"/>
      <w:jc w:val="center"/>
    </w:pPr>
  </w:style>
  <w:style w:type="paragraph" w:styleId="List">
    <w:name w:val="List"/>
    <w:basedOn w:val="Normal"/>
    <w:uiPriority w:val="99"/>
    <w:semiHidden/>
    <w:unhideWhenUsed/>
    <w:rsid w:val="007E493D"/>
    <w:pPr>
      <w:ind w:left="360" w:hanging="360"/>
      <w:contextualSpacing/>
    </w:pPr>
  </w:style>
  <w:style w:type="character" w:styleId="Hyperlink">
    <w:name w:val="Hyperlink"/>
    <w:basedOn w:val="DefaultParagraphFont"/>
    <w:uiPriority w:val="99"/>
    <w:unhideWhenUsed/>
    <w:rsid w:val="00B441AA"/>
    <w:rPr>
      <w:color w:val="0563C1" w:themeColor="hyperlink"/>
      <w:u w:val="single"/>
    </w:rPr>
  </w:style>
  <w:style w:type="character" w:styleId="UnresolvedMention">
    <w:name w:val="Unresolved Mention"/>
    <w:basedOn w:val="DefaultParagraphFont"/>
    <w:uiPriority w:val="99"/>
    <w:semiHidden/>
    <w:unhideWhenUsed/>
    <w:rsid w:val="00B441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63.42.166.97"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e8cb991-6de7-4519-9ceb-ac92e1d1629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8B612D56D8FEF429FF08DBD05A11435" ma:contentTypeVersion="16" ma:contentTypeDescription="Create a new document." ma:contentTypeScope="" ma:versionID="cbd571c8ff88c0980c49f4b2d1911fa4">
  <xsd:schema xmlns:xsd="http://www.w3.org/2001/XMLSchema" xmlns:xs="http://www.w3.org/2001/XMLSchema" xmlns:p="http://schemas.microsoft.com/office/2006/metadata/properties" xmlns:ns3="ae8cb991-6de7-4519-9ceb-ac92e1d16292" xmlns:ns4="cee1caeb-d25b-4df5-a6a3-3e09967f9cdd" targetNamespace="http://schemas.microsoft.com/office/2006/metadata/properties" ma:root="true" ma:fieldsID="e80c91a7096d0e88c020a01bf46f0dd3" ns3:_="" ns4:_="">
    <xsd:import namespace="ae8cb991-6de7-4519-9ceb-ac92e1d16292"/>
    <xsd:import namespace="cee1caeb-d25b-4df5-a6a3-3e09967f9cd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8cb991-6de7-4519-9ceb-ac92e1d162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e1caeb-d25b-4df5-a6a3-3e09967f9cd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77BFB5-CD5D-4A0F-833D-469C598D9A33}">
  <ds:schemaRefs>
    <ds:schemaRef ds:uri="http://purl.org/dc/elements/1.1/"/>
    <ds:schemaRef ds:uri="http://schemas.microsoft.com/office/infopath/2007/PartnerControls"/>
    <ds:schemaRef ds:uri="http://schemas.microsoft.com/office/2006/metadata/properties"/>
    <ds:schemaRef ds:uri="http://schemas.microsoft.com/office/2006/documentManagement/types"/>
    <ds:schemaRef ds:uri="http://www.w3.org/XML/1998/namespace"/>
    <ds:schemaRef ds:uri="http://purl.org/dc/terms/"/>
    <ds:schemaRef ds:uri="http://purl.org/dc/dcmitype/"/>
    <ds:schemaRef ds:uri="ae8cb991-6de7-4519-9ceb-ac92e1d16292"/>
    <ds:schemaRef ds:uri="http://schemas.openxmlformats.org/package/2006/metadata/core-properties"/>
    <ds:schemaRef ds:uri="cee1caeb-d25b-4df5-a6a3-3e09967f9cdd"/>
  </ds:schemaRefs>
</ds:datastoreItem>
</file>

<file path=customXml/itemProps2.xml><?xml version="1.0" encoding="utf-8"?>
<ds:datastoreItem xmlns:ds="http://schemas.openxmlformats.org/officeDocument/2006/customXml" ds:itemID="{E42597B0-6D1A-43F0-BE6F-32FBA487C41B}">
  <ds:schemaRefs>
    <ds:schemaRef ds:uri="http://schemas.microsoft.com/sharepoint/v3/contenttype/forms"/>
  </ds:schemaRefs>
</ds:datastoreItem>
</file>

<file path=customXml/itemProps3.xml><?xml version="1.0" encoding="utf-8"?>
<ds:datastoreItem xmlns:ds="http://schemas.openxmlformats.org/officeDocument/2006/customXml" ds:itemID="{1F1B3925-830F-454C-99A3-9E0E01F1CB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8cb991-6de7-4519-9ceb-ac92e1d16292"/>
    <ds:schemaRef ds:uri="cee1caeb-d25b-4df5-a6a3-3e09967f9c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14</Pages>
  <Words>2756</Words>
  <Characters>15339</Characters>
  <Application>Microsoft Office Word</Application>
  <DocSecurity>4</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18059</CharactersWithSpaces>
  <SharedDoc>false</SharedDoc>
  <HLinks>
    <vt:vector size="6" baseType="variant">
      <vt:variant>
        <vt:i4>1048591</vt:i4>
      </vt:variant>
      <vt:variant>
        <vt:i4>0</vt:i4>
      </vt:variant>
      <vt:variant>
        <vt:i4>0</vt:i4>
      </vt:variant>
      <vt:variant>
        <vt:i4>5</vt:i4>
      </vt:variant>
      <vt:variant>
        <vt:lpwstr>http://63.42.166.97/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Lutes, Robert G</dc:creator>
  <cp:keywords/>
  <dc:description/>
  <cp:lastModifiedBy>Axelson, Margaret M</cp:lastModifiedBy>
  <cp:revision>2</cp:revision>
  <cp:lastPrinted>2024-04-24T19:07:00Z</cp:lastPrinted>
  <dcterms:created xsi:type="dcterms:W3CDTF">2024-04-24T21:54:00Z</dcterms:created>
  <dcterms:modified xsi:type="dcterms:W3CDTF">2024-04-24T21:54:00Z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6b9d1d23-2c72-412c-a3da-efb7a4b891ab</vt:lpwstr>
  </property>
  <property fmtid="{D5CDD505-2E9C-101B-9397-08002B2CF9AE}" pid="3" name="ContentTypeId">
    <vt:lpwstr>0x010100F8B612D56D8FEF429FF08DBD05A11435</vt:lpwstr>
  </property>
</Properties>
</file>