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left"/>
      </w:pPr>
      <w:r>
        <w:rPr>
          <w:b/>
          <w:bCs/>
          <w:color w:val="1b2733"/>
          <w:sz w:val="52"/>
          <w:szCs w:val="52"/>
        </w:rPr>
        <w:t xml:space="preserve">Right-Sizing the Model to the Question</w:t>
      </w:r>
    </w:p>
    <w:p>
      <w:pPr>
        <w:spacing w:after="300"/>
      </w:pPr>
      <w:r>
        <w:rPr>
          <w:color w:val="1f7a8c"/>
          <w:sz w:val="30"/>
          <w:szCs w:val="30"/>
        </w:rPr>
        <w:t xml:space="preserve">Cutting LLM inference cost with a cloud semantic router</w:t>
      </w:r>
    </w:p>
    <w:p>
      <w:pPr>
        <w:spacing w:after="80"/>
      </w:pPr>
      <w:r>
        <w:rPr>
          <w:color w:val="46566b"/>
          <w:sz w:val="24"/>
          <w:szCs w:val="24"/>
        </w:rPr>
        <w:t xml:space="preserve">A technical white paper</w:t>
      </w:r>
    </w:p>
    <w:p>
      <w:pPr>
        <w:spacing w:after="80"/>
      </w:pPr>
      <w:r>
        <w:rPr>
          <w:color w:val="46566b"/>
          <w:sz w:val="22"/>
          <w:szCs w:val="22"/>
        </w:rPr>
        <w:t xml:space="preserve">Measured results from a 797-query routing benchmark</w:t>
      </w:r>
    </w:p>
    <w:p>
      <w:pPr>
        <w:spacing w:before="240"/>
      </w:pPr>
      <w:r>
        <w:rPr>
          <w:color w:val="46566b"/>
          <w:sz w:val="22"/>
          <w:szCs w:val="22"/>
        </w:rPr>
        <w:t xml:space="preserve">June 2026</w:t>
      </w:r>
    </w:p>
    <w:p>
      <w:r>
        <w:br w:type="page"/>
      </w:r>
    </w:p>
    <w:p>
      <w:pPr>
        <w:spacing w:after="120"/>
      </w:pPr>
      <w:r>
        <w:rPr>
          <w:b/>
          <w:bCs/>
          <w:color w:val="1b2733"/>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line="276"/>
        <w:jc w:val="both"/>
      </w:pPr>
      <w:r>
        <w:t xml:space="preserve">Most production traffic to a large language model is easy. A user asks for the capital of a country, a unit conversion, a short rewrite, or a definition. A small fraction of traffic is hard: a multi-step proof, a high-stakes judgment call, a long synthesis across several domains. When every request is sent to a single frontier model, the easy questions are answered at the same price as the hard ones. That price gap is the waste a semantic router removes.</w:t>
      </w:r>
    </w:p>
    <w:p>
      <w:pPr>
        <w:spacing w:after="160" w:line="276"/>
        <w:jc w:val="both"/>
      </w:pPr>
      <w:r>
        <w:t xml:space="preserve">A semantic router reads each incoming prompt, estimates how much capability it needs, and forwards it to the smallest model that can answer it well. Trivial questions go to a small, inexpensive model, and the few that genuinely need a frontier model still get one. Answer quality stays the same on a per-question basis while the blended cost falls sharply.</w:t>
      </w:r>
    </w:p>
    <w:p>
      <w:pPr>
        <w:spacing w:after="160" w:line="276"/>
        <w:jc w:val="both"/>
      </w:pPr>
      <w:r>
        <w:t xml:space="preserve">This paper documents a working five-tier router built on the open-source </w:t>
      </w:r>
      <w:r>
        <w:rPr>
          <w:b/>
          <w:bCs/>
        </w:rPr>
        <w:t xml:space="preserve">vLLM Semantic Router</w:t>
      </w:r>
      <w:r>
        <w:t xml:space="preserve">, operating entirely as a cloud API router in front of hosted vendor models. It was measured on a 797-query benchmark spanning trivial lookups to frontier-grade synthesis, with every routed answer scored by two independent LLM judges. The reporting covers the cloud model results only.</w:t>
      </w:r>
    </w:p>
    <w:p>
      <w:pPr>
        <w:spacing w:after="160" w:line="276"/>
        <w:jc w:val="both"/>
      </w:pPr>
      <w:r>
        <w:t xml:space="preserve">The headline findings:</w:t>
      </w:r>
    </w:p>
    <w:p>
      <w:pPr>
        <w:pStyle w:val="ListParagraph"/>
        <w:numPr>
          <w:ilvl w:val="0"/>
          <w:numId w:val="2"/>
        </w:numPr>
        <w:spacing w:after="80"/>
      </w:pPr>
      <w:r>
        <w:rPr>
          <w:b/>
          <w:bCs/>
        </w:rPr>
        <w:t xml:space="preserve">98 percent of routed answers were judged adequate</w:t>
      </w:r>
      <w:r>
        <w:t xml:space="preserve"> across 6,268 answer-by-judge comparisons, with per-tier adequacy between 96 and 100 percent.</w:t>
      </w:r>
    </w:p>
    <w:p>
      <w:pPr>
        <w:pStyle w:val="ListParagraph"/>
        <w:numPr>
          <w:ilvl w:val="0"/>
          <w:numId w:val="2"/>
        </w:numPr>
        <w:spacing w:after="80"/>
      </w:pPr>
      <w:r>
        <w:rPr>
          <w:b/>
          <w:bCs/>
        </w:rPr>
        <w:t xml:space="preserve">31 to 58 percent lower cost</w:t>
      </w:r>
      <w:r>
        <w:t xml:space="preserve"> than sending every query to the frontier model, depending on how easy the traffic is. At 300,000 queries per day this is roughly $190,000 to $241,000 saved per year.</w:t>
      </w:r>
    </w:p>
    <w:p>
      <w:pPr>
        <w:pStyle w:val="ListParagraph"/>
        <w:numPr>
          <w:ilvl w:val="0"/>
          <w:numId w:val="2"/>
        </w:numPr>
        <w:spacing w:after="160"/>
      </w:pPr>
      <w:r>
        <w:rPr>
          <w:b/>
          <w:bCs/>
        </w:rPr>
        <w:t xml:space="preserve">355 millisecond mean routing latency</w:t>
      </w:r>
      <w:r>
        <w:t xml:space="preserve"> at a sustained 22.5 queries per second, so the routing decision is a small fraction of total response time.</w:t>
      </w:r>
    </w:p>
    <w:p>
      <w:pPr>
        <w:pStyle w:val="Heading1"/>
      </w:pPr>
      <w:r>
        <w:t xml:space="preserve">2. The problem and its economic impact</w:t>
      </w:r>
    </w:p>
    <w:p>
      <w:pPr>
        <w:spacing w:after="160" w:line="276"/>
        <w:jc w:val="both"/>
      </w:pPr>
      <w:r>
        <w:t xml:space="preserve">Frontier models are priced for their hardest use. A top-tier model charges several dollars per million input tokens and several times that per million output tokens. That price is fair when a question demands frontier reasoning, and it is overpayment when the question is a lookup a small model answers correctly in a few tokens. Because real traffic is heavily skewed toward the easy end, a deployment that sends everything to the frontier pays the top rate on the large majority of requests that never needed it. A router removes that overpayment by sending each query to the smallest model that can handle it.</w:t>
      </w:r>
    </w:p>
    <w:p>
      <w:pPr>
        <w:spacing w:after="160" w:line="276"/>
        <w:jc w:val="both"/>
      </w:pPr>
      <w:r>
        <w:t xml:space="preserve">The effect is clearest at a fixed volume. At 300,000 AI queries per day, routing rather than sending everything to the frontier model produces the annual savings below, shown for two traffic profiles.</w:t>
      </w:r>
    </w:p>
    <w:p>
      <w:pPr>
        <w:spacing w:after="40" w:before="80"/>
        <w:jc w:val="center"/>
      </w:pPr>
      <w:r>
        <w:drawing>
          <wp:inline distT="0" distB="0" distL="0" distR="0">
            <wp:extent cx="5334000" cy="3057525"/>
            <wp:effectExtent t="0" r="0" b="0" l="0"/>
            <wp:docPr id="1" name="fig_annual_300k.png" descr="Figure 1. Annual cost at 300,000 queries per day: routing versus sending every query to the frontier model, for two traffic profiles. The routed bar is always compared against the all-frontier cost for that same profile." title="Figure 1. Annual cost at 300,000 queries per day: routing versus sending every query to the frontier model, for two traffic profiles. The routed bar is always compared against the all-frontier cost for that same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57525"/>
                    </a:xfrm>
                    <a:prstGeom prst="rect">
                      <a:avLst/>
                    </a:prstGeom>
                  </pic:spPr>
                </pic:pic>
              </a:graphicData>
            </a:graphic>
          </wp:inline>
        </w:drawing>
      </w:r>
    </w:p>
    <w:p>
      <w:pPr>
        <w:spacing w:after="200"/>
        <w:jc w:val="center"/>
      </w:pPr>
      <w:r>
        <w:rPr>
          <w:i/>
          <w:iCs/>
          <w:color w:val="46566b"/>
          <w:sz w:val="18"/>
          <w:szCs w:val="18"/>
        </w:rPr>
        <w:t xml:space="preserve">Figure 1. Annual cost at 300,000 queries per day: routing versus sending every query to the frontier model, for two traffic profiles. The routed bar is always compared against the all-frontier cost for that same profile.</w:t>
      </w:r>
    </w:p>
    <w:p>
      <w:pPr>
        <w:spacing w:after="160" w:line="276"/>
        <w:jc w:val="both"/>
      </w:pPr>
      <w:r>
        <w:rPr>
          <w:b/>
          <w:bCs/>
        </w:rPr>
        <w:t xml:space="preserve">Even distribution. </w:t>
      </w:r>
      <w:r>
        <w:t xml:space="preserve">The benchmark spreads queries evenly across the difficulty bands, a deliberately demanding profile that exercises the router across its whole range. Routing cuts annual cost from about $788,000 to about $547,000, a saving of about $241,000, or 31 percent.</w:t>
      </w:r>
    </w:p>
    <w:p>
      <w:pPr>
        <w:spacing w:after="160" w:line="276"/>
        <w:jc w:val="both"/>
      </w:pPr>
      <w:r>
        <w:rPr>
          <w:b/>
          <w:bCs/>
        </w:rPr>
        <w:t xml:space="preserve">Simple-weighted distribution. </w:t>
      </w:r>
      <w:r>
        <w:t xml:space="preserve">Real workloads are easy-heavy: the great majority of questions are simple, with only a thin tail of hard ones. On that profile the same daily volume costs about $325,000 sent entirely to the frontier and about $137,000 routed, a saving of about $188,000, or 58 percent. The absolute saving is a little smaller than the even case because simple queries are cheap on both sides, but the proportional cut is larger.</w:t>
      </w:r>
    </w:p>
    <w:p>
      <w:pPr>
        <w:spacing w:after="160" w:line="276"/>
        <w:jc w:val="both"/>
      </w:pPr>
      <w:r>
        <w:t xml:space="preserve">Both profiles rest on one measured difference. The average query costs about $0.0050 to answer through the router, against about $0.0072 sent straight to the frontier model. Section 7.3 derives these figures and defines the two distributions in full.</w:t>
      </w:r>
    </w:p>
    <w:p>
      <w:pPr>
        <w:pStyle w:val="Heading2"/>
      </w:pPr>
      <w:r>
        <w:t xml:space="preserve">2.1 Where 300,000 queries a day comes from</w:t>
      </w:r>
    </w:p>
    <w:p>
      <w:pPr>
        <w:spacing w:after="160" w:line="276"/>
        <w:jc w:val="both"/>
      </w:pPr>
      <w:r>
        <w:t xml:space="preserve">Three hundred thousand queries a day is a mid-size deployment, not an outlier. Published usage data puts an active knowledge worker in the range of forty to sixty AI queries on a working day. Microsoft reports its enterprise assistant handling on the order of a billion queries a day across roughly 28 million seats, which is about forty per seat averaged over every seat, so the users who are actually active run more, and enterprise studies show heavy users far above that. Taking fifty queries per active user per day as a midpoint, 300,000 queries a day is about 6,000 active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360"/>
        <w:gridCol w:w="2400"/>
      </w:tblGrid>
      <w:tr>
        <w:trPr>
          <w:cantSplit/>
          <w:tblHeader/>
        </w:trP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Organization</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Active users</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Queries / day</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Annual saving (even mix)</w:t>
            </w:r>
          </w:p>
        </w:tc>
      </w:tr>
      <w:tr>
        <w:trPr>
          <w:cantSplit/>
          <w:tblHeader w:val="false"/>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Department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1,000</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50,000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$40K</w:t>
            </w:r>
          </w:p>
        </w:tc>
      </w:tr>
      <w:tr>
        <w:trPr>
          <w:cantSplit/>
          <w:tblHeader w:val="false"/>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Mid-size company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6,000</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300,000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$241K</w:t>
            </w:r>
          </w:p>
        </w:tc>
      </w:tr>
      <w:tr>
        <w:trPr>
          <w:cantSplit/>
          <w:tblHeader w:val="false"/>
        </w:trP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Large enterprise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20,000</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1,000,000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$803K</w:t>
            </w:r>
          </w:p>
        </w:tc>
      </w:tr>
    </w:tbl>
    <w:p>
      <w:pPr>
        <w:spacing w:after="120"/>
      </w:pPr>
      <w:r>
        <w:t xml:space="preserve"/>
      </w:r>
    </w:p>
    <w:p>
      <w:pPr>
        <w:spacing w:after="160" w:line="276"/>
        <w:jc w:val="both"/>
      </w:pPr>
      <w:r>
        <w:t xml:space="preserve">Each row assumes fifty AI queries per active user per workday; heavier usage reaches the same volumes with fewer users. Savings scale linearly with total query volume, so any organization can read its own figure off the curve below.</w:t>
      </w:r>
    </w:p>
    <w:p>
      <w:pPr>
        <w:spacing w:after="40" w:before="80"/>
        <w:jc w:val="center"/>
      </w:pPr>
      <w:r>
        <w:drawing>
          <wp:inline distT="0" distB="0" distL="0" distR="0">
            <wp:extent cx="5715000" cy="3114675"/>
            <wp:effectExtent t="0" r="0" b="0" l="0"/>
            <wp:docPr id="1" name="fig_savings_scale.png" descr="Figure 2. Annual savings against total daily query volume, on the benchmark mix. The marked point is 300,000 queries per day, about $241,000 per year, which at fifty queries per user per day corresponds to roughly 6,000 active users. Savings rise linearly with volume." title="Figure 2. Annual savings against total daily query volume, on the benchmark mix. The marked point is 300,000 queries per day, about $241,000 per year, which at fifty queries per user per day corresponds to roughly 6,000 active users. Savings rise linearly with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46566b"/>
          <w:sz w:val="18"/>
          <w:szCs w:val="18"/>
        </w:rPr>
        <w:t xml:space="preserve">Figure 2. Annual savings against total daily query volume, on the benchmark mix. The marked point is 300,000 queries per day, about $241,000 per year, which at fifty queries per user per day corresponds to roughly 6,000 active users. Savings rise linearly with volume.</w:t>
      </w:r>
    </w:p>
    <w:p>
      <w:pPr>
        <w:pStyle w:val="Heading1"/>
      </w:pPr>
      <w:r>
        <w:t xml:space="preserve">3. What semantic routing is, and why it helps</w:t>
      </w:r>
    </w:p>
    <w:p>
      <w:pPr>
        <w:spacing w:after="160" w:line="276"/>
        <w:jc w:val="both"/>
      </w:pPr>
      <w:r>
        <w:t xml:space="preserve">Semantic routing is the practice of choosing which model answers a request based on the meaning and difficulty of the request itself, rather than sending every request to one fixed model. A lightweight classifier reads the prompt, places it on a difficulty scale, and dispatches it to the model tier that matches. The classifier is small and cheap to run, so the routing decision adds little cost or delay while redirecting the expensive work only where it is warranted.</w:t>
      </w:r>
    </w:p>
    <w:p>
      <w:pPr>
        <w:spacing w:after="160" w:line="276"/>
        <w:jc w:val="both"/>
      </w:pPr>
      <w:r>
        <w:t xml:space="preserve">The idea is well supported in the research literature, and the reported savings are large and consistent across independent groups.</w:t>
      </w:r>
    </w:p>
    <w:p>
      <w:pPr>
        <w:spacing w:after="160" w:line="276"/>
        <w:jc w:val="both"/>
      </w:pPr>
      <w:r>
        <w:rPr>
          <w:b/>
          <w:bCs/>
        </w:rPr>
        <w:t xml:space="preserve">RouteLLM</w:t>
      </w:r>
      <w:r>
        <w:t xml:space="preserve">, from LMSYS and UC Berkeley, framed routing as a learned choice between a strong, expensive model and a weak, cheap one. Trained on preference data, their routers reached 95 percent of strong-model quality on MT-Bench while sending only 26 percent of queries to the strong model, and with judge-augmented training only 14 percent, a roughly 75 percent reduction in strong-model calls. Across public benchmarks they reported cost reductions of more than two times with no measurable loss in response quality.</w:t>
      </w:r>
    </w:p>
    <w:p>
      <w:pPr>
        <w:spacing w:after="160" w:line="276"/>
        <w:jc w:val="both"/>
      </w:pPr>
      <w:r>
        <w:rPr>
          <w:b/>
          <w:bCs/>
        </w:rPr>
        <w:t xml:space="preserve">The vLLM Semantic Router</w:t>
      </w:r>
      <w:r>
        <w:t xml:space="preserve">, introduced by Red Hat and the vLLM community in 2025, brings the same idea to the open inference stack with an intent-and-complexity classifier built on a compact encoder model. Their published benchmarks on MMLU-Pro with a Qwen3 30B model report accuracy on complex tasks improving by 10.2 percent while latency and token usage fell by 47.1 and 48.5 percent respectively. In their reasoning-effort experiments, automating how hard the model thinks cut average token usage to about 20 percent of the original, a five times saving, at equal accuracy.</w:t>
      </w:r>
    </w:p>
    <w:p>
      <w:pPr>
        <w:spacing w:after="160" w:line="276"/>
        <w:jc w:val="both"/>
      </w:pPr>
      <w:r>
        <w:t xml:space="preserve">Other groups report the same direction of effect. Anyscale's published router work and several commercial routing studies describe quality held near frontier levels while the share of frontier calls, and therefore cost, drops by well over half. The common thread is that difficulty is unevenly distributed across real traffic, so a classifier that respects that distribution captures most of the savings without sacrificing the answers that matter.</w:t>
      </w:r>
    </w:p>
    <w:p>
      <w:pPr>
        <w:spacing w:after="160" w:line="276"/>
        <w:jc w:val="both"/>
      </w:pPr>
      <w:r>
        <w:t xml:space="preserve">Two design points explain why the savings do not come at the expense of quality. First, the easy questions that get demoted to a small model are exactly the questions a small model answers correctly, so demoting them costs nothing in quality. Second, the router is tuned to err upward on genuinely ambiguous cases, so the rare hard question that looks easy is still likely to reach a capable tier. The savings come from the large, confidently-easy majority, not from gambling on the hard minority.</w:t>
      </w:r>
    </w:p>
    <w:p>
      <w:pPr>
        <w:pStyle w:val="Heading1"/>
      </w:pPr>
      <w:r>
        <w:t xml:space="preserve">4. How semantic routing works, and how vLLM-SR works specifically</w:t>
      </w:r>
    </w:p>
    <w:p>
      <w:pPr>
        <w:pStyle w:val="Heading2"/>
      </w:pPr>
      <w:r>
        <w:t xml:space="preserve">4.1 The general pipeline</w:t>
      </w:r>
    </w:p>
    <w:p>
      <w:pPr>
        <w:spacing w:after="160" w:line="276"/>
        <w:jc w:val="both"/>
      </w:pPr>
      <w:r>
        <w:t xml:space="preserve">Every semantic router performs four steps on each request. It extracts signals from the prompt, combines those signals into a single difficulty estimate, maps that estimate to a destination tier, and forwards the request to a model in that tier. The art is in the signals and the mapping; the rest is plumbing.</w:t>
      </w:r>
    </w:p>
    <w:p>
      <w:pPr>
        <w:spacing w:after="40" w:before="80"/>
        <w:jc w:val="center"/>
      </w:pPr>
      <w:r>
        <w:drawing>
          <wp:inline distT="0" distB="0" distL="0" distR="0">
            <wp:extent cx="5715000" cy="2286000"/>
            <wp:effectExtent t="0" r="0" b="0" l="0"/>
            <wp:docPr id="1" name="fig_pipeline.png" descr="Figure 3. The routing pipeline. Signals extracted from the prompt are combined into one difficulty score, the score is mapped to a tier band, and the request is forwarded to the smallest capable model." title="Figure 3. The routing pipeline. Signals extracted from the prompt are combined into one difficulty score, the score is mapped to a tier band, and the request is forwarded to the smallest capabl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46566b"/>
          <w:sz w:val="18"/>
          <w:szCs w:val="18"/>
        </w:rPr>
        <w:t xml:space="preserve">Figure 3. The routing pipeline. Signals extracted from the prompt are combined into one difficulty score, the score is mapped to a tier band, and the request is forwarded to the smallest capable model.</w:t>
      </w:r>
    </w:p>
    <w:p>
      <w:pPr>
        <w:spacing w:after="160" w:line="276"/>
        <w:jc w:val="both"/>
      </w:pPr>
      <w:r>
        <w:t xml:space="preserve">Signals come in several kinds. Embedding signals measure semantic similarity between the prompt and banks of example prompts, so a question that resembles known hard questions scores high. Complexity signals use a contrastive classifier that compares the prompt against a hard bank and an easy bank and reports the margin between them. Structure signals are mechanical and deterministic: prompt length in words, presence of a code block, presence of a numbered list. Context signals capture conversational state. Each signal contributes a weighted amount to the difficulty score, and the weights are where an operator encodes judgment about what makes a query hard.</w:t>
      </w:r>
    </w:p>
    <w:p>
      <w:pPr>
        <w:pStyle w:val="Heading2"/>
      </w:pPr>
      <w:r>
        <w:t xml:space="preserve">4.2 How vLLM Semantic Router implements it</w:t>
      </w:r>
    </w:p>
    <w:p>
      <w:pPr>
        <w:spacing w:after="160" w:line="276"/>
        <w:jc w:val="both"/>
      </w:pPr>
      <w:r>
        <w:t xml:space="preserve">The vLLM Semantic Router is delivered as an </w:t>
      </w:r>
      <w:r>
        <w:rPr>
          <w:b/>
          <w:bCs/>
        </w:rPr>
        <w:t xml:space="preserve">Envoy proxy with an external processing service</w:t>
      </w:r>
      <w:r>
        <w:t xml:space="preserve">. Envoy sits in front of the model backends and, for every request, calls out to the router process, which runs the classifier and decides the destination. The router is lightweight: its classifier is a compact encoder model rather than a generative LLM, so the routing decision is cheap. It runs as a thin cloud service in front of the vendor model APIs, adding a single inexpensive hop ahead of the model call.</w:t>
      </w:r>
    </w:p>
    <w:p>
      <w:pPr>
        <w:spacing w:after="160" w:line="276"/>
        <w:jc w:val="both"/>
      </w:pPr>
      <w:r>
        <w:t xml:space="preserve">On first launch the router downloads a small embedding model, </w:t>
      </w:r>
      <w:r>
        <w:rPr>
          <w:b/>
          <w:bCs/>
        </w:rPr>
        <w:t xml:space="preserve">mmbert-embed-32k-2d-matryoshka</w:t>
      </w:r>
      <w:r>
        <w:t xml:space="preserve">, about 600 megabytes, which produces the vectors the embedding signals compare against. The router stack also brings up its own supporting services, including a Postgres and a Redis backend, and exposes an OpenAI-compatible endpoint so that any client that speaks the standard chat-completions API can sit in front of it without code changes.</w:t>
      </w:r>
    </w:p>
    <w:p>
      <w:pPr>
        <w:spacing w:after="160" w:line="276"/>
        <w:jc w:val="both"/>
      </w:pPr>
      <w:r>
        <w:t xml:space="preserve">The routing decision is returned on the response as three headers: </w:t>
      </w:r>
      <w:r>
        <w:rPr>
          <w:rFonts w:ascii="Courier New" w:cs="Courier New" w:eastAsia="Courier New" w:hAnsi="Courier New"/>
        </w:rPr>
        <w:t xml:space="preserve">x-vsr-selected-model</w:t>
      </w:r>
      <w:r>
        <w:t xml:space="preserve">, </w:t>
      </w:r>
      <w:r>
        <w:rPr>
          <w:rFonts w:ascii="Courier New" w:cs="Courier New" w:eastAsia="Courier New" w:hAnsi="Courier New"/>
        </w:rPr>
        <w:t xml:space="preserve">x-vsr-selected-category</w:t>
      </w:r>
      <w:r>
        <w:t xml:space="preserve">, and </w:t>
      </w:r>
      <w:r>
        <w:rPr>
          <w:rFonts w:ascii="Courier New" w:cs="Courier New" w:eastAsia="Courier New" w:hAnsi="Courier New"/>
        </w:rPr>
        <w:t xml:space="preserve">x-vsr-selected-reasoning</w:t>
      </w:r>
      <w:r>
        <w:t xml:space="preserve">. Downstream code reads these to know which tier handled the request, which makes the system easy to observe and to benchmark.</w:t>
      </w:r>
    </w:p>
    <w:p>
      <w:pPr>
        <w:spacing w:after="160" w:line="276"/>
        <w:jc w:val="both"/>
      </w:pPr>
      <w:r>
        <w:t xml:space="preserve">The version used here emits the v0.3 canonical </w:t>
      </w:r>
      <w:r>
        <w:rPr>
          <w:b/>
          <w:bCs/>
        </w:rPr>
        <w:t xml:space="preserve">projections</w:t>
      </w:r>
      <w:r>
        <w:t xml:space="preserve"> configuration. In that shape, all of the signals feed a single weighted sum named </w:t>
      </w:r>
      <w:r>
        <w:rPr>
          <w:rFonts w:ascii="Courier New" w:cs="Courier New" w:eastAsia="Courier New" w:hAnsi="Courier New"/>
        </w:rPr>
        <w:t xml:space="preserve">request_difficulty</w:t>
      </w:r>
      <w:r>
        <w:t xml:space="preserve">, and a small set of cutoffs partitions that score into tier bands. One decision per band names the model that band routes to. The entire routing logic, the signals, their weights, and the cutoffs, lives in a single human-readable configuration file, so tuning the router never requires touching code.</w:t>
      </w:r>
    </w:p>
    <w:p>
      <w:pPr>
        <w:pStyle w:val="Heading1"/>
      </w:pPr>
      <w:r>
        <w:t xml:space="preserve">5. Setting up routing: tiers, models, exemplars, and scoring</w:t>
      </w:r>
    </w:p>
    <w:p>
      <w:pPr>
        <w:pStyle w:val="Heading2"/>
      </w:pPr>
      <w:r>
        <w:t xml:space="preserve">5.1 Define the tiers</w:t>
      </w:r>
    </w:p>
    <w:p>
      <w:pPr>
        <w:spacing w:after="160" w:line="276"/>
        <w:jc w:val="both"/>
      </w:pPr>
      <w:r>
        <w:t xml:space="preserve">A tier is a capability band, not a specific model. Defining tiers first, and binding models to them second, lets the model behind a tier change without disturbing the routing logic. The system documented here uses five tiers of hosted cloud models, from the smallest, cheapest model for trivial work up to a frontier model for the hardest combined reasoning and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60"/>
      </w:tblGrid>
      <w:tr>
        <w:trPr>
          <w:cantSplit/>
          <w:tblHeader/>
        </w:trP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Tier</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Role</w:t>
            </w:r>
          </w:p>
        </w:tc>
        <w:tc>
          <w:tcPr>
            <w:tcW w:type="dxa" w:w="6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Example cloud models bound to it</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Trivial lookups, format conversion, one-step transforms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gpt-5-nano, gemini-3.1-flash-lite</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Workhorse: standard coding, short explainers, common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gpt-5.4-nano, gemini-2.5-flash</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Heavy reasoning, deep technical work, complex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claude-haiku-4-5, gpt-5.4-mini, gemini-3.5-flash</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High-stakes judgment, advice, strategy</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claude-sonnet-4-5, gpt-5.4, gemini-3.1-pro</w:t>
            </w:r>
          </w:p>
        </w:tc>
      </w:tr>
      <w:tr>
        <w:trPr>
          <w:cantSplit/>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Frontier: deeply technical and demanding judgment at once</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Opus 4.7, GPT-5.5</w:t>
            </w:r>
          </w:p>
        </w:tc>
      </w:tr>
    </w:tbl>
    <w:p>
      <w:pPr>
        <w:spacing w:after="120"/>
      </w:pPr>
      <w:r>
        <w:t xml:space="preserve"/>
      </w:r>
    </w:p>
    <w:p>
      <w:pPr>
        <w:spacing w:after="160" w:line="276"/>
        <w:jc w:val="both"/>
      </w:pPr>
      <w:r>
        <w:t xml:space="preserve">The two lowest tiers are the heart of the savings. They bind to the smallest, cheapest hosted models, such as </w:t>
      </w:r>
      <w:r>
        <w:rPr>
          <w:b/>
          <w:bCs/>
        </w:rPr>
        <w:t xml:space="preserve">gpt-5-nano</w:t>
      </w:r>
      <w:r>
        <w:t xml:space="preserve"> and </w:t>
      </w:r>
      <w:r>
        <w:rPr>
          <w:b/>
          <w:bCs/>
        </w:rPr>
        <w:t xml:space="preserve">gemini-3.1-flash-lite</w:t>
      </w:r>
      <w:r>
        <w:t xml:space="preserve"> at T1 and </w:t>
      </w:r>
      <w:r>
        <w:rPr>
          <w:b/>
          <w:bCs/>
        </w:rPr>
        <w:t xml:space="preserve">gpt-5.4-nano</w:t>
      </w:r>
      <w:r>
        <w:t xml:space="preserve"> and </w:t>
      </w:r>
      <w:r>
        <w:rPr>
          <w:b/>
          <w:bCs/>
        </w:rPr>
        <w:t xml:space="preserve">gemini-2.5-flash</w:t>
      </w:r>
      <w:r>
        <w:t xml:space="preserve"> at T2. These models cost a small fraction of frontier rates per token, often more than fifty times less, yet they answer the trivial and workhorse questions that make up most real traffic. Routing the easy majority to them is where the bulk of the savings is realized.</w:t>
      </w:r>
    </w:p>
    <w:p>
      <w:pPr>
        <w:pStyle w:val="Heading2"/>
      </w:pPr>
      <w:r>
        <w:t xml:space="preserve">5.2 Bind models to tiers</w:t>
      </w:r>
    </w:p>
    <w:p>
      <w:pPr>
        <w:spacing w:after="160" w:line="276"/>
        <w:jc w:val="both"/>
      </w:pPr>
      <w:r>
        <w:t xml:space="preserve">Each tier can front several models from different suppliers. A tier names its callable models in configuration, one indexed slot per model, each carrying an endpoint URL, a model name, and an optional supplier label and timeout. Adding a model is an edit to one configuration entry, never a code change. Every endpoint speaks the OpenAI chat-completions API, so suppliers are interchangeable and a tier can be re-pointed from one vendor to another without touching code. When a tier fronts more than one model, the router can prefer the cheapest model that meets the tier requirement.</w:t>
      </w:r>
    </w:p>
    <w:p>
      <w:pPr>
        <w:pStyle w:val="Heading2"/>
      </w:pPr>
      <w:r>
        <w:t xml:space="preserve">5.3 The signal categories, and what is fixed versus what you choose</w:t>
      </w:r>
    </w:p>
    <w:p>
      <w:pPr>
        <w:spacing w:after="160" w:line="276"/>
        <w:jc w:val="both"/>
      </w:pPr>
      <w:r>
        <w:t xml:space="preserve">This is the part that looks like magic, and it is worth slowing down on, because it is not magic at all. The router never decides a tier directly. For each prompt it computes a single number, called request_difficulty, then compares that number to a set of cutoffs to pick the band. Everything else is bookkeeping. The number is a weighted sum of signals, and a signal is just a measurement of the prompt that you have decided is evidence of difficulty.</w:t>
      </w:r>
    </w:p>
    <w:p>
      <w:pPr>
        <w:spacing w:after="160" w:line="276"/>
        <w:jc w:val="both"/>
      </w:pPr>
      <w:r>
        <w:t xml:space="preserve">The router framework gives you four categories of signal. The categories and the math that combines them are fixed. The content of each signal is yours to supply. That division is the whole picture:</w:t>
      </w:r>
    </w:p>
    <w:p>
      <w:pPr>
        <w:spacing w:after="40" w:before="80"/>
        <w:jc w:val="center"/>
      </w:pPr>
      <w:r>
        <w:drawing>
          <wp:inline distT="0" distB="0" distL="0" distR="0">
            <wp:extent cx="5715000" cy="3619500"/>
            <wp:effectExtent t="0" r="0" b="0" l="0"/>
            <wp:docPr id="1" name="fig_score_anatomy.png" descr="Figure 4. Anatomy of the difficulty score. Each of the four signal categories contributes to one weighted sum, and four cutoffs split that sum into tier bands. The categories and the math are built into the router; the signals, exemplars, weights, thresholds, and cutoffs are yours." title="Figure 4. Anatomy of the difficulty score. Each of the four signal categories contributes to one weighted sum, and four cutoffs split that sum into tier bands. The categories and the math are built into the router; the signals, exemplars, weights, thresholds, and cutoffs are y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19500"/>
                    </a:xfrm>
                    <a:prstGeom prst="rect">
                      <a:avLst/>
                    </a:prstGeom>
                  </pic:spPr>
                </pic:pic>
              </a:graphicData>
            </a:graphic>
          </wp:inline>
        </w:drawing>
      </w:r>
    </w:p>
    <w:p>
      <w:pPr>
        <w:spacing w:after="200"/>
        <w:jc w:val="center"/>
      </w:pPr>
      <w:r>
        <w:rPr>
          <w:i/>
          <w:iCs/>
          <w:color w:val="46566b"/>
          <w:sz w:val="18"/>
          <w:szCs w:val="18"/>
        </w:rPr>
        <w:t xml:space="preserve">Figure 4. Anatomy of the difficulty score. Each of the four signal categories contributes to one weighted sum, and four cutoffs split that sum into tier bands. The categories and the math are built into the router; the signals, exemplars, weights, thresholds, and cutoffs are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Fixed by vLLM Semantic Router</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Chosen by you</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four signal categories: complexity, embeddings, structure, context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Which signals to create within each category</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contrastive classifier and the embedding model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The exemplar prompts that fill each signal bank</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weighted-sum and threshold-band scoring math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Each signal's weight, its sign, and its threshold</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The routing decision headers returned per request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The four cutoffs that separate the five tier bands</w:t>
            </w:r>
          </w:p>
        </w:tc>
      </w:tr>
    </w:tbl>
    <w:p>
      <w:pPr>
        <w:spacing w:after="120"/>
      </w:pPr>
      <w:r>
        <w:t xml:space="preserve"/>
      </w:r>
    </w:p>
    <w:p>
      <w:pPr>
        <w:spacing w:after="160" w:line="276"/>
        <w:jc w:val="both"/>
      </w:pPr>
      <w:r>
        <w:t xml:space="preserve">The four categories differ in what they measure and in whether they need exemplars: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4310"/>
        <w:gridCol w:w="1200"/>
        <w:gridCol w:w="1500"/>
      </w:tblGrid>
      <w:tr>
        <w:trPr>
          <w:cantSplit/>
          <w:tblHeader/>
        </w:trPr>
        <w:tc>
          <w:tcPr>
            <w:tcW w:type="dxa" w:w="235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Category</w:t>
            </w:r>
          </w:p>
        </w:tc>
        <w:tc>
          <w:tcPr>
            <w:tcW w:type="dxa" w:w="431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What it measures</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Exemplars?</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How it fires</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Complexity</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Contrastive margin: how much more the prompt resembles a hard bank than an easy bank</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Yes, two banks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When the margin clears its threshold</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Embeddings</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Cosine similarity between the prompt and one bank of example prompts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Yes, one bank</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In proportion to similarity, above a threshold</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Structure</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Mechanical properties of the text: word count, code blocks, numbered lists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Binary, when a regex or length test passes</w:t>
            </w:r>
          </w:p>
        </w:tc>
      </w:tr>
      <w:tr>
        <w:trPr>
          <w:cantSplit/>
          <w:tblHeader w:val="false"/>
        </w:trPr>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Context</w:t>
            </w:r>
          </w:p>
        </w:tc>
        <w:tc>
          <w:tcPr>
            <w:tcW w:type="dxa" w:w="4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Request facts such as token count or modality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Binary, when the value falls in range</w:t>
            </w:r>
          </w:p>
        </w:tc>
      </w:tr>
    </w:tbl>
    <w:p>
      <w:pPr>
        <w:spacing w:after="120"/>
      </w:pPr>
      <w:r>
        <w:t xml:space="preserve"/>
      </w:r>
    </w:p>
    <w:p>
      <w:pPr>
        <w:spacing w:after="160" w:line="276"/>
        <w:jc w:val="both"/>
      </w:pPr>
      <w:r>
        <w:t xml:space="preserve">Complexity, structure, and context contribute in an on-or-off way: when the signal fires, it adds its weight to the score, otherwise it adds nothing. Embedding signals contribute continuously, in proportion to how closely the prompt matches their bank. A weight can be negative. A signal with a negative weight is a detractor: when it fires it pulls the score down, which is how trivial questions are anchored in the cheapest tier rather than drifting upward.</w:t>
      </w:r>
    </w:p>
    <w:p>
      <w:pPr>
        <w:spacing w:after="160" w:line="276"/>
        <w:jc w:val="both"/>
      </w:pPr>
      <w:r>
        <w:t xml:space="preserve">The configuration documented here uses one complexity signal, four embedding signals, several structure signals, and one context signal. The embedding signals are where most of the routing intelligence lives, so they are worth listing with their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5160"/>
      </w:tblGrid>
      <w:tr>
        <w:trPr>
          <w:cantSplit/>
          <w:tblHeader/>
        </w:trPr>
        <w:tc>
          <w:tcPr>
            <w:tcW w:type="dxa" w:w="2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Embedding signal</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Weight</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What it captures</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trivial_lookup</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Short factual asks and definitions. A detractor that pulls difficulty down and anchors easy queries at T1.</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moderate_complexity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Explain-how, compare-and-contrast, and basic-implementation prompts that belong in T2 or T3.</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argumentative_construction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Prompts that demand a position, recommendation, or diagnosis, the T4 judgment pattern.</w:t>
            </w:r>
          </w:p>
        </w:tc>
      </w:tr>
      <w:tr>
        <w:trPr>
          <w:cantSplit/>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frontier_synthesis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Long-form original argument and multi-domain synthesis, the T5 pattern.</w:t>
            </w:r>
          </w:p>
        </w:tc>
      </w:tr>
    </w:tbl>
    <w:p>
      <w:pPr>
        <w:spacing w:after="120"/>
      </w:pPr>
      <w:r>
        <w:t xml:space="preserve"/>
      </w:r>
    </w:p>
    <w:p>
      <w:pPr>
        <w:spacing w:after="160" w:line="276"/>
        <w:jc w:val="both"/>
      </w:pPr>
      <w:r>
        <w:t xml:space="preserve">The single complexity signal, </w:t>
      </w:r>
      <w:r>
        <w:rPr>
          <w:rFonts w:ascii="Courier New" w:cs="Courier New" w:eastAsia="Courier New" w:hAnsi="Courier New"/>
        </w:rPr>
        <w:t xml:space="preserve">query_difficulty</w:t>
      </w:r>
      <w:r>
        <w:t xml:space="preserve">, carries a weight of +0.24 and contrasts diverse hard archetypes against diverse trivial ones. The structure signals add small mechanical adjustments: a prompt under twelve words subtracts a little, a prompt over twenty-five words adds a little, a fenced code block or a numbered list adds a little. The context signal adds weight when the request needs a large context window. None of these is doing anything subtle on its own. Their value is in the sum.</w:t>
      </w:r>
    </w:p>
    <w:p>
      <w:pPr>
        <w:pStyle w:val="Heading2"/>
      </w:pPr>
      <w:r>
        <w:t xml:space="preserve">5.4 Writing exemplars</w:t>
      </w:r>
    </w:p>
    <w:p>
      <w:pPr>
        <w:spacing w:after="160" w:line="276"/>
        <w:jc w:val="both"/>
      </w:pPr>
      <w:r>
        <w:t xml:space="preserve">An exemplar is simply an example prompt you place in a bank. The router converts each one into a vector, and when a new prompt arrives it compares that prompt to the bank by similarity. You are teaching by example: this bank says “questions that look like these are hard,” that bank says “questions that look like these are trivial.” Because the banks are what the router actually compares against, the quality of your exemplars determines the quality of your routing. A small example of the two banks behind a complexity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Hard bank (raises difficulty)</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Easy bank (lowers difficulty)</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Demonstrate that there are infinitely many primes.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What is the chemical symbol for sodium?</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Walk through how Raft handles a split-vote scenario.</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Who wrote The Great Gatsby?</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Prove that a stated real number is irrational.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Define photosynthesis.</w:t>
            </w:r>
          </w:p>
        </w:tc>
      </w:tr>
    </w:tbl>
    <w:p>
      <w:pPr>
        <w:spacing w:after="120"/>
      </w:pPr>
      <w:r>
        <w:t xml:space="preserve"/>
      </w:r>
    </w:p>
    <w:p>
      <w:pPr>
        <w:spacing w:after="160" w:line="276"/>
        <w:jc w:val="both"/>
      </w:pPr>
      <w:r>
        <w:t xml:space="preserve">A handful of practices separate banks that route well from banks that do not:</w:t>
      </w:r>
    </w:p>
    <w:p>
      <w:pPr>
        <w:pStyle w:val="ListParagraph"/>
        <w:numPr>
          <w:ilvl w:val="0"/>
          <w:numId w:val="3"/>
        </w:numPr>
        <w:spacing w:after="80"/>
      </w:pPr>
      <w:r>
        <w:rPr>
          <w:b/>
          <w:bCs/>
        </w:rPr>
        <w:t xml:space="preserve">Use archetypes, not real queries. </w:t>
      </w:r>
      <w:r>
        <w:t xml:space="preserve">Fill banks with generic patterns of a difficulty class, not paraphrases of the actual prompts you expect. Ten to fifteen diverse examples per bank is enough. Copying real or test queries into the banks teaches the router to recognize those specific prompts rather than the underlying shape, which looks good in testing and fails in production.</w:t>
      </w:r>
    </w:p>
    <w:p>
      <w:pPr>
        <w:pStyle w:val="ListParagraph"/>
        <w:numPr>
          <w:ilvl w:val="0"/>
          <w:numId w:val="3"/>
        </w:numPr>
        <w:spacing w:after="80"/>
      </w:pPr>
      <w:r>
        <w:rPr>
          <w:b/>
          <w:bCs/>
        </w:rPr>
        <w:t xml:space="preserve">Cover the category broadly. </w:t>
      </w:r>
      <w:r>
        <w:t xml:space="preserve">A hard bank should span the ways a prompt can be hard: multi-step reasoning, deep domain expertise, open-ended judgment, long synthesis. Narrow banks only catch the cases you happened to think of.</w:t>
      </w:r>
    </w:p>
    <w:p>
      <w:pPr>
        <w:pStyle w:val="ListParagraph"/>
        <w:numPr>
          <w:ilvl w:val="0"/>
          <w:numId w:val="3"/>
        </w:numPr>
        <w:spacing w:after="80"/>
      </w:pPr>
      <w:r>
        <w:rPr>
          <w:b/>
          <w:bCs/>
        </w:rPr>
        <w:t xml:space="preserve">Match the length of your targets. </w:t>
      </w:r>
      <w:r>
        <w:t xml:space="preserve">The classifier compares a prompt to its nearest neighbor in the bank, and a short prompt cannot closely resemble a long one in vector space. If some hard prompts are terse, such as a one-line request to prove a number is irrational, the hard bank needs short hard examples alongside the long ones, or those prompts will be missed.</w:t>
      </w:r>
    </w:p>
    <w:p>
      <w:pPr>
        <w:pStyle w:val="ListParagraph"/>
        <w:numPr>
          <w:ilvl w:val="0"/>
          <w:numId w:val="3"/>
        </w:numPr>
        <w:spacing w:after="80"/>
      </w:pPr>
      <w:r>
        <w:rPr>
          <w:b/>
          <w:bCs/>
        </w:rPr>
        <w:t xml:space="preserve">Keep contaminating vocabulary out of the opposing bank. </w:t>
      </w:r>
      <w:r>
        <w:t xml:space="preserve">Shared wording leaks across banks. A math-flavored example placed in an easy bank raises the easy score for genuine proofs and quietly demotes them a tier. Anchor trivial cases with a separate detractor instead of polluting the easy bank.</w:t>
      </w:r>
    </w:p>
    <w:p>
      <w:pPr>
        <w:pStyle w:val="ListParagraph"/>
        <w:numPr>
          <w:ilvl w:val="0"/>
          <w:numId w:val="3"/>
        </w:numPr>
        <w:spacing w:after="160"/>
      </w:pPr>
      <w:r>
        <w:rPr>
          <w:b/>
          <w:bCs/>
        </w:rPr>
        <w:t xml:space="preserve">Use a detractor to anchor the floor. </w:t>
      </w:r>
      <w:r>
        <w:t xml:space="preserve">A negative-weight bank of short factual and lookup prompts is the most reliable way to keep trivial questions in the cheapest tier, more reliable than hoping no positive signal fires on them.</w:t>
      </w:r>
    </w:p>
    <w:p>
      <w:pPr>
        <w:pStyle w:val="Heading2"/>
      </w:pPr>
      <w:r>
        <w:t xml:space="preserve">5.5 How the score is computed: a worked example</w:t>
      </w:r>
    </w:p>
    <w:p>
      <w:pPr>
        <w:spacing w:after="160" w:line="276"/>
        <w:jc w:val="both"/>
      </w:pPr>
      <w:r>
        <w:t xml:space="preserve">Putting it together, here is how four prompts flow through the same configuration. The contributions shown are illustrative of the mechanism rather than exact classifier outputs, but the arithmetic is exactly what the router does: add the contributions, compare to the cutoffs, pick the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3500"/>
        <w:gridCol w:w="900"/>
        <w:gridCol w:w="900"/>
      </w:tblGrid>
      <w:tr>
        <w:trPr>
          <w:cantSplit/>
          <w:tblHeader/>
        </w:trPr>
        <w:tc>
          <w:tcPr>
            <w:tcW w:type="dxa" w:w="4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Prompt</w:t>
            </w:r>
          </w:p>
        </w:tc>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Signals that fire (contribution)</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Score</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Tier</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What is the capital of France?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trivial_lookup (-0.18), short_prompt (-0.05)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T1</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Compare TCP, UDP, and SCTP and the trade-offs of each.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moderate_complexity (+0.14)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T3</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Should we adopt this framework across the org? Take a position and defend it.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argumentative_construction (+0.18)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T4</w:t>
            </w:r>
          </w:p>
        </w:tc>
      </w:tr>
      <w:tr>
        <w:trPr>
          <w:cantSplit/>
          <w:tblHeader w:val="false"/>
        </w:trPr>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Construct an original argument for a non-obvious philosophical position and defend it without retreat.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query_difficulty hard (+0.24), frontier_synthesis (+0.15), long_prompt (+0.08)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0.47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T5</w:t>
            </w:r>
          </w:p>
        </w:tc>
      </w:tr>
    </w:tbl>
    <w:p>
      <w:pPr>
        <w:spacing w:after="120"/>
      </w:pPr>
      <w:r>
        <w:t xml:space="preserve"/>
      </w:r>
    </w:p>
    <w:p>
      <w:pPr>
        <w:spacing w:after="160" w:line="276"/>
        <w:jc w:val="both"/>
      </w:pPr>
      <w:r>
        <w:t xml:space="preserve">There is no hidden step. The score is the sum of the contributions, and the cutoffs decide the tier. Everything that determines a routing decision is visible in one configuration file, which is what makes the behavior debuggable and tunable rather than opaque.</w:t>
      </w:r>
    </w:p>
    <w:p>
      <w:pPr>
        <w:pStyle w:val="Heading2"/>
      </w:pPr>
      <w:r>
        <w:t xml:space="preserve">5.6 Setting the cutoffs and the bands</w:t>
      </w:r>
    </w:p>
    <w:p>
      <w:pPr>
        <w:spacing w:after="160" w:line="276"/>
        <w:jc w:val="both"/>
      </w:pPr>
      <w:r>
        <w:t xml:space="preserve">The cutoffs are the last piece. Four of them split the difficulty score into five bands, one per tier. In this configuration the cutoffs are 0.03, 0.10, 0.18, and 0.40, against a practical score range of roughly minus 0.15 to 0.70. A trivial question that strongly matches the detractor lands below the first cutoff and routes to T1. A question that fires the complexity and frontier signals together clears the top cutoff and routes to T5. The cutoffs are a blunt instrument: moving one shifts every query near it, so they are tuned last, after the signals and weights are doing their job.</w:t>
      </w:r>
    </w:p>
    <w:p>
      <w:pPr>
        <w:spacing w:after="40" w:before="80"/>
        <w:jc w:val="center"/>
      </w:pPr>
      <w:r>
        <w:drawing>
          <wp:inline distT="0" distB="0" distL="0" distR="0">
            <wp:extent cx="5715000" cy="1809750"/>
            <wp:effectExtent t="0" r="0" b="0" l="0"/>
            <wp:docPr id="1" name="fig_banding.png" descr="Figure 5. The same scoring model on a number line. Every signal feeds one weighted sum, and the four cutoffs partition that sum into the five tier bands." title="Figure 5. The same scoring model on a number line. Every signal feeds one weighted sum, and the four cutoffs partition that sum into the five tier 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i/>
          <w:iCs/>
          <w:color w:val="46566b"/>
          <w:sz w:val="18"/>
          <w:szCs w:val="18"/>
        </w:rPr>
        <w:t xml:space="preserve">Figure 5. The same scoring model on a number line. Every signal feeds one weighted sum, and the four cutoffs partition that sum into the five tier bands.</w:t>
      </w:r>
    </w:p>
    <w:p>
      <w:pPr>
        <w:pStyle w:val="Heading1"/>
      </w:pPr>
      <w:r>
        <w:t xml:space="preserve">6. Tuning: an iterative process</w:t>
      </w:r>
    </w:p>
    <w:p>
      <w:pPr>
        <w:spacing w:after="160" w:line="276"/>
        <w:jc w:val="both"/>
      </w:pPr>
      <w:r>
        <w:t xml:space="preserve">A first configuration is an educated guess. Tuning is the loop that turns it into a reliable router, and it is empirical rather than analytical: you route a set of known queries, see where they land, fix the largest error, and repeat. The three surfaces you adjust all live in the one configuration file, namely the exemplar banks, the per-signal weights, and the band cutoffs. The goal of each pass is to move misrouted queries into the right band without dragging correctly-routed queries out of theirs.</w:t>
      </w:r>
    </w:p>
    <w:p>
      <w:pPr>
        <w:spacing w:after="40" w:before="80"/>
        <w:jc w:val="center"/>
      </w:pPr>
      <w:r>
        <w:drawing>
          <wp:inline distT="0" distB="0" distL="0" distR="0">
            <wp:extent cx="4095750" cy="5229225"/>
            <wp:effectExtent t="0" r="0" b="0" l="0"/>
            <wp:docPr id="1" name="fig_tuning_flow.png" descr="Figure 6. The tuning loop. Route a labeled set, measure where queries land, fix the largest error with the cheapest available lever, and re-measure. Stop when the misroutes that remain are acceptable." title="Figure 6. The tuning loop. Route a labeled set, measure where queries land, fix the largest error with the cheapest available lever, and re-measure. Stop when the misroutes that remain are ac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229225"/>
                    </a:xfrm>
                    <a:prstGeom prst="rect">
                      <a:avLst/>
                    </a:prstGeom>
                  </pic:spPr>
                </pic:pic>
              </a:graphicData>
            </a:graphic>
          </wp:inline>
        </w:drawing>
      </w:r>
    </w:p>
    <w:p>
      <w:pPr>
        <w:spacing w:after="200"/>
        <w:jc w:val="center"/>
      </w:pPr>
      <w:r>
        <w:rPr>
          <w:i/>
          <w:iCs/>
          <w:color w:val="46566b"/>
          <w:sz w:val="18"/>
          <w:szCs w:val="18"/>
        </w:rPr>
        <w:t xml:space="preserve">Figure 6. The tuning loop. Route a labeled set, measure where queries land, fix the largest error with the cheapest available lever, and re-measure. Stop when the misroutes that remain are acceptable.</w:t>
      </w:r>
    </w:p>
    <w:p>
      <w:pPr>
        <w:spacing w:after="160" w:line="276"/>
        <w:jc w:val="both"/>
      </w:pPr>
      <w:r>
        <w:t xml:space="preserve">The loop has five steps.</w:t>
      </w:r>
    </w:p>
    <w:p>
      <w:pPr>
        <w:spacing w:after="160" w:line="276"/>
        <w:jc w:val="both"/>
      </w:pPr>
      <w:r>
        <w:rPr>
          <w:b/>
          <w:bCs/>
        </w:rPr>
        <w:t xml:space="preserve">Step 1. Assemble a labeled dev set. </w:t>
      </w:r>
      <w:r>
        <w:t xml:space="preserve">Collect a few dozen to a few hundred queries that span the full difficulty range, and tag each with the lowest tier you believe should answer it well. This is your answer key. Keep it separate from the exemplar banks, so you are never grading the router on the very examples you trained it with.</w:t>
      </w:r>
    </w:p>
    <w:p>
      <w:pPr>
        <w:spacing w:after="160" w:line="276"/>
        <w:jc w:val="both"/>
      </w:pPr>
      <w:r>
        <w:rPr>
          <w:b/>
          <w:bCs/>
        </w:rPr>
        <w:t xml:space="preserve">Step 2. Build the config and route the dev set. </w:t>
      </w:r>
      <w:r>
        <w:t xml:space="preserve">Compile the configuration and send every dev query through the router, which records the tier each one lands in. Because a routing decision does not require a real model answer, this pass is fast and inexpensive and can run against a local mock rather than paid endpoints.</w:t>
      </w:r>
    </w:p>
    <w:p>
      <w:pPr>
        <w:spacing w:after="160" w:line="276"/>
        <w:jc w:val="both"/>
      </w:pPr>
      <w:r>
        <w:rPr>
          <w:b/>
          <w:bCs/>
        </w:rPr>
        <w:t xml:space="preserve">Step 3. Measure outcomes. </w:t>
      </w:r>
      <w:r>
        <w:t xml:space="preserve">Compare where each query landed against its label, and look at the distribution across tiers. Two error types matter: an under-route, where the score came out too low and a hard query went to a small tier, and an over-route, where the score came out too high and an easy query went to an expensive one. Where you can, also judge answer adequacy, because a query that lands one tier below its label but is still answered adequately is not actually a failure.</w:t>
      </w:r>
    </w:p>
    <w:p>
      <w:pPr>
        <w:spacing w:after="160" w:line="276"/>
        <w:jc w:val="both"/>
      </w:pPr>
      <w:r>
        <w:rPr>
          <w:b/>
          <w:bCs/>
        </w:rPr>
        <w:t xml:space="preserve">Step 4. Diagnose each misroute. </w:t>
      </w:r>
      <w:r>
        <w:t xml:space="preserve">For each cluster of errors, find the signal at fault. An under-route usually means a signal that should have fired did not: the prompt resembled nothing in the relevant bank, or the threshold was set too high to clear. An over-route usually means a signal fired when it should not have: a bank was too broad, or a detractor that should have anchored the prompt was missing.</w:t>
      </w:r>
    </w:p>
    <w:p>
      <w:pPr>
        <w:spacing w:after="160" w:line="276"/>
        <w:jc w:val="both"/>
      </w:pPr>
      <w:r>
        <w:rPr>
          <w:b/>
          <w:bCs/>
        </w:rPr>
        <w:t xml:space="preserve">Step 5. Apply the smallest fix, then return to Step 2. </w:t>
      </w:r>
      <w:r>
        <w:t xml:space="preserve">Reach for the most local lever first. Add or sharpen exemplars before changing weights, and change weights before moving cutoffs. The reason is blast radius: an exemplar edit affects only prompts near it, a weight change affects every query that fires that signal, and a cutoff change moves every query at once. Make one change, recompile, and re-route. Resist changing several things between measurements, or you will not know which one helped.</w:t>
      </w:r>
    </w:p>
    <w:p>
      <w:pPr>
        <w:spacing w:after="160" w:line="276"/>
        <w:jc w:val="both"/>
      </w:pPr>
      <w:r>
        <w:t xml:space="preserve">Several recurring fixes came out of building this router and are worth keeping as a checklist.</w:t>
      </w:r>
    </w:p>
    <w:p>
      <w:pPr>
        <w:spacing w:after="160" w:line="276"/>
        <w:jc w:val="both"/>
      </w:pPr>
      <w:r>
        <w:rPr>
          <w:b/>
          <w:bCs/>
        </w:rPr>
        <w:t xml:space="preserve">Make signals discriminate, not fire constantly. </w:t>
      </w:r>
      <w:r>
        <w:t xml:space="preserve">An early version used four complexity signals that, on inspection, all reported the same middle value on every query. A signal that fires identically on all inputs carries no information and only adds noise to the sum. The fix was to replace them with a smaller set of signals of different kinds, one contrastive complexity signal, several embedding signals, and a few mechanical structure signals, because different signal types capture different evidence and together give the score real gradient.</w:t>
      </w:r>
    </w:p>
    <w:p>
      <w:pPr>
        <w:spacing w:after="160" w:line="276"/>
        <w:jc w:val="both"/>
      </w:pPr>
      <w:r>
        <w:rPr>
          <w:b/>
          <w:bCs/>
        </w:rPr>
        <w:t xml:space="preserve">Mind the contrastive margin. </w:t>
      </w:r>
      <w:r>
        <w:t xml:space="preserve">A contrastive classifier compares a prompt against the nearest example in each bank, so the banks must match the target prompts in both content and length. Short rigorous prompts, such as a one-line request to prove a number is irrational, cannot resemble long hard exemplars in embedding space, so short hard archetypes had to be added alongside the long ones. The same care applies in reverse: any math-flavored example placed in an easy bank slightly raised the easy score for genuine proofs and flipped them down a tier, so math examples were kept out of the easy and detractor banks and trivial arithmetic was anchored with a separate detractor instead.</w:t>
      </w:r>
    </w:p>
    <w:p>
      <w:pPr>
        <w:spacing w:after="160" w:line="276"/>
        <w:jc w:val="both"/>
      </w:pPr>
      <w:r>
        <w:rPr>
          <w:b/>
          <w:bCs/>
        </w:rPr>
        <w:t xml:space="preserve">Tune weights and cutoffs against measured outcomes. </w:t>
      </w:r>
      <w:r>
        <w:t xml:space="preserve">Thresholds that look reasonable in the abstract are often unreachable in practice. One complexity threshold was originally set so high that no query ever cleared it. The working values were found empirically by routing the benchmark, reading where queries landed, and adjusting. A single weight bump, for example raising the complexity weight so that one hard match alone clears the T3-to-T4 cutoff, can correct a whole class of misroutes.</w:t>
      </w:r>
    </w:p>
    <w:p>
      <w:pPr>
        <w:spacing w:after="160" w:line="276"/>
        <w:jc w:val="both"/>
      </w:pPr>
      <w:r>
        <w:rPr>
          <w:b/>
          <w:bCs/>
        </w:rPr>
        <w:t xml:space="preserve">Judge quality, not just tier match. </w:t>
      </w:r>
      <w:r>
        <w:t xml:space="preserve">It is tempting to grade the router only on whether it hit a hand-labeled minimum tier. That label is a conservative floor, and grading against it alone is misleading. In this benchmark the router selected a tier at or above the hand-labeled minimum on 70 percent of queries, yet 98 percent of the cloud answers it produced were judged adequate by independent LLM judges. The gap means the smaller tiers answered many queries adequately that a cautious human had marked as needing a larger model. The honest measure of a router is whether the user would have been satisfied with the answer, which is what the adequacy judgment captures, and it is the metric to tune toward.</w:t>
      </w:r>
    </w:p>
    <w:p>
      <w:pPr>
        <w:spacing w:after="160" w:line="276"/>
        <w:jc w:val="both"/>
      </w:pPr>
      <w:r>
        <w:rPr>
          <w:b/>
          <w:bCs/>
        </w:rPr>
        <w:t xml:space="preserve">Know when to stop. </w:t>
      </w:r>
      <w:r>
        <w:t xml:space="preserve">Tuning has a natural end. When fixes for one query start breaking others, the configuration is near its useful limit and further changes trade one error for another. Two habits protect against over-fitting to the dev set. Keep exemplars generic rather than tailored to specific prompts, and validate the final configuration on a held-out set of queries that you never tuned against. A router that performs well on prompts it has never seen is the only kind worth shipping.</w:t>
      </w:r>
    </w:p>
    <w:p>
      <w:pPr>
        <w:pStyle w:val="Heading1"/>
      </w:pPr>
      <w:r>
        <w:t xml:space="preserve">7. Benchmark results from this system</w:t>
      </w:r>
    </w:p>
    <w:p>
      <w:pPr>
        <w:spacing w:after="160" w:line="276"/>
        <w:jc w:val="both"/>
      </w:pPr>
      <w:r>
        <w:t xml:space="preserve">The system was exercised against a curated benchmark of 797 queries spanning all five difficulty bands, with the band populations kept roughly equal so that hard queries are deliberately over-represented relative to real traffic. Every query was routed, every routed tier produced answers from each cloud model it fronts, and every routed answer was scored by two independent LLM judges against gold reference answers from the frontier tier. The reporting below covers the cloud model results only. The rubric scored four dimensions on a one-to-four scale and assigned an overall verdict of Adequate, Marginal, or Failure.</w:t>
      </w:r>
    </w:p>
    <w:p>
      <w:pPr>
        <w:pStyle w:val="Heading2"/>
      </w:pPr>
      <w:r>
        <w:t xml:space="preserve">7.1 Where traffic went</w:t>
      </w:r>
    </w:p>
    <w:p>
      <w:pPr>
        <w:spacing w:after="160" w:line="276"/>
        <w:jc w:val="both"/>
      </w:pPr>
      <w:r>
        <w:t xml:space="preserve">The router distributed the 797 queries across all five tiers. Because the benchmark over-weights hard queries, the upper tiers carry more traffic here than they would in production, where the easy tiers would dominate.</w:t>
      </w:r>
    </w:p>
    <w:p>
      <w:pPr>
        <w:spacing w:after="40" w:before="80"/>
        <w:jc w:val="center"/>
      </w:pPr>
      <w:r>
        <w:drawing>
          <wp:inline distT="0" distB="0" distL="0" distR="0">
            <wp:extent cx="5715000" cy="2800350"/>
            <wp:effectExtent t="0" r="0" b="0" l="0"/>
            <wp:docPr id="1" name="fig_distribution.png" descr="Figure 7. Routing distribution across the 797-query benchmark. The flat-by-difficulty benchmark sends more traffic to the upper tiers than production traffic would." title="Figure 7. Routing distribution across the 797-query benchmark. The flat-by-difficulty benchmark sends more traffic to the upper tiers than production traffic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7. Routing distribution across the 797-query benchmark. The flat-by-difficulty benchmark sends more traffic to the upper tiers than production traffic would.</w:t>
      </w:r>
    </w:p>
    <w:p>
      <w:pPr>
        <w:pStyle w:val="Heading2"/>
      </w:pPr>
      <w:r>
        <w:t xml:space="preserve">7.2 Whether the answers were good enough</w:t>
      </w:r>
    </w:p>
    <w:p>
      <w:pPr>
        <w:spacing w:after="160" w:line="276"/>
        <w:jc w:val="both"/>
      </w:pPr>
      <w:r>
        <w:t xml:space="preserve">Across 6,268 answer-by-judge comparisons of routed cloud answers, </w:t>
      </w:r>
      <w:r>
        <w:rPr>
          <w:b/>
          <w:bCs/>
        </w:rPr>
        <w:t xml:space="preserve">98 percent were judged Adequate</w:t>
      </w:r>
      <w:r>
        <w:t xml:space="preserve">, under 2 percent Marginal, and under 1 percent Failure. Per-tier adequacy held between 96 and 100 percent, so the small tiers were not trading quality for cost: the cheapest T1 cloud models were judged adequate on essentially every query routed to them. Averaged across all routed answers, the judges scored correctness at 3.98 out of 4, completeness at 3.97, supporting-fact soundness at 3.98, and fitness for purpose at 3.58.</w:t>
      </w:r>
    </w:p>
    <w:p>
      <w:pPr>
        <w:spacing w:after="40" w:before="80"/>
        <w:jc w:val="center"/>
      </w:pPr>
      <w:r>
        <w:drawing>
          <wp:inline distT="0" distB="0" distL="0" distR="0">
            <wp:extent cx="5715000" cy="2800350"/>
            <wp:effectExtent t="0" r="0" b="0" l="0"/>
            <wp:docPr id="1" name="fig_adequacy.png" descr="Figure 8. Answer quality at the tier the router selected, cloud models only. Adequacy stays between 96 and 100 percent across tiers, so right-sizing does not cost quality." title="Figure 8. Answer quality at the tier the router selected, cloud models only. Adequacy stays between 96 and 100 percent across tiers, so right-sizing does not cos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8. Answer quality at the tier the router selected, cloud models only. Adequacy stays between 96 and 100 percent across tiers, so right-sizing does not cost quality.</w:t>
      </w:r>
    </w:p>
    <w:p>
      <w:pPr>
        <w:pStyle w:val="Heading2"/>
      </w:pPr>
      <w:r>
        <w:t xml:space="preserve">7.3 What it cost, and how fast</w:t>
      </w:r>
    </w:p>
    <w:p>
      <w:pPr>
        <w:spacing w:after="160" w:line="276"/>
        <w:jc w:val="both"/>
      </w:pPr>
      <w:r>
        <w:t xml:space="preserve">Cost is computed one query at a time, then averaged, then scaled by volume. For each query, the routed cost is the measured cost of the model the router used for the tier it picked, from real token counts at current supplier rates. The baseline cost for the same query is what it would cost sent to the frontier model instead, holding the answer length fixed at the frontier reference and applying only the frontier rate, so a pricier frontier can never look cheaper by answering tersely.</w:t>
      </w:r>
    </w:p>
    <w:p>
      <w:pPr>
        <w:spacing w:after="160" w:line="276"/>
        <w:jc w:val="both"/>
      </w:pPr>
      <w:r>
        <w:t xml:space="preserve">Averaging those per-query costs over the benchmark set gives about $0.0050 per query routed against about $0.0072 per query all-frontier. How that translates into a headline number depends on the traffic distribution, so we report two.</w:t>
      </w:r>
    </w:p>
    <w:p>
      <w:pPr>
        <w:spacing w:after="160" w:line="276"/>
        <w:jc w:val="both"/>
      </w:pPr>
      <w:r>
        <w:rPr>
          <w:b/>
          <w:bCs/>
        </w:rPr>
        <w:t xml:space="preserve">Benchmark mix (even distribution). </w:t>
      </w:r>
      <w:r>
        <w:t xml:space="preserve">The benchmark spreads its queries roughly evenly across the five difficulty bands to exercise the router across the full range. On this mix, routing cut cost against the all-frontier baseline by </w:t>
      </w:r>
      <w:r>
        <w:rPr>
          <w:b/>
          <w:bCs/>
        </w:rPr>
        <w:t xml:space="preserve">31 percent</w:t>
      </w:r>
      <w:r>
        <w:t xml:space="preserve">, from about $7,192 to about $4,992 per million queries. Scaled to volume, that is about $241,000 saved per year at 300,000 queries per day. This is a conservative number, because an even spread sends far more traffic to the expensive upper tiers than real usage does.</w:t>
      </w:r>
    </w:p>
    <w:p>
      <w:pPr>
        <w:spacing w:after="160" w:line="276"/>
        <w:jc w:val="both"/>
      </w:pPr>
      <w:r>
        <w:rPr>
          <w:b/>
          <w:bCs/>
        </w:rPr>
        <w:t xml:space="preserve">Simple-weighted mix (production). </w:t>
      </w:r>
      <w:r>
        <w:t xml:space="preserve">Production traffic is rarely even. The large majority of real questions are simple lookups, conversions, and short tasks, with only a thin tail of frontier-grade work, so deployments skew heavily toward the lower tiers. Re-weighting the same per-query costs to a representative easy-heavy split of 60, 20, 12, 5, and 3 percent across tiers T1 to T5, and comparing routed against all-frontier on that same mix, the saving rises to </w:t>
      </w:r>
      <w:r>
        <w:rPr>
          <w:b/>
          <w:bCs/>
        </w:rPr>
        <w:t xml:space="preserve">58 percent</w:t>
      </w:r>
      <w:r>
        <w:t xml:space="preserve">, from about $2,966 to about $1,247 per million queries. The 60/20/12/5/3 split is an illustrative estimate of typical production traffic, not a measurement of a specific deployment; an operator with their own tier distribution can substitute it and recompute with the same method.</w:t>
      </w:r>
    </w:p>
    <w:p>
      <w:pPr>
        <w:spacing w:after="160" w:line="276"/>
        <w:jc w:val="both"/>
      </w:pPr>
      <w:r>
        <w:t xml:space="preserve">The routing decision itself was cheap under either mix: mean routing latency was </w:t>
      </w:r>
      <w:r>
        <w:rPr>
          <w:b/>
          <w:bCs/>
        </w:rPr>
        <w:t xml:space="preserve">355 milliseconds</w:t>
      </w:r>
      <w:r>
        <w:t xml:space="preserve"> with a 99th percentile of 502 milliseconds, sustained at 22.5 queries per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Value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Basis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Queries benchmarked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797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All five difficulty bands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Routed cloud-answer judgments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6,268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Two independent judges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Adequate verdicts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Across all routed cloud answers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Per-tier adequacy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96 to 100%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Tiers T1 through T4</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benchmark mix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$7,192 to $4,992 per 1M</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simple-weighted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58%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$2,966 to $1,247 per 1M</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Annualized saving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~$241K/yr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At 300,000 queries/day, benchmark mix</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Mean routing latency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355 ms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p99 = 502 ms</w:t>
            </w:r>
          </w:p>
        </w:tc>
      </w:tr>
      <w:tr>
        <w:trPr>
          <w:cantSplit/>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Sustained throughput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22.5 qps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Concurrency 8</w:t>
            </w:r>
          </w:p>
        </w:tc>
      </w:tr>
    </w:tbl>
    <w:p>
      <w:r>
        <w:br w:type="page"/>
      </w:r>
    </w:p>
    <w:p>
      <w:pPr>
        <w:pStyle w:val="Heading1"/>
      </w:pPr>
      <w:r>
        <w:t xml:space="preserve">8. Summary and system specification</w:t>
      </w:r>
    </w:p>
    <w:p>
      <w:pPr>
        <w:spacing w:after="160" w:line="276"/>
        <w:jc w:val="both"/>
      </w:pPr>
      <w:r>
        <w:t xml:space="preserve">A semantic router earns its place by matching the cost of answering a question to the difficulty of the question. On the benchmark documented here, routing entirely across cloud models sent 98 percent of traffic to a tier whose answer independent judges accepted, while cutting blended cost by 31 percent on the benchmark mix and by 58 percent on the simple-weighted distribution typical of production traffic. At 300,000 queries per day the benchmark-mix saving is about $241,000 per year. The two cheapest tiers, which carry most production traffic, bind to the smallest hosted models at a small fraction of frontier rates, and the routing decision adds only about a third of a second. The savings come from the large, confidently-easy majority of real traffic, and they do not require giving up the frontier model on the questions that need it.</w:t>
      </w:r>
    </w:p>
    <w:p>
      <w:pPr>
        <w:spacing w:after="160" w:line="276"/>
        <w:jc w:val="both"/>
      </w:pPr>
      <w:r>
        <w:t xml:space="preserve">The architecture is deliberately portable. Tiers are capability bands, models bind to tiers through configuration, and the routing logic lives in one human-readable file. A new model is an edit, not a deployment. Every backend speaks the same OpenAI-compatible API, so a tier can be re-pointed from one vendor to another without code changes. That makes the design straightforward to adopt incrementally: stand the router in front of the existing frontier API, add the cheaper tiers, and let the easy majority of traffic flow to the smaller models while the frontier model keeps handling the rest.</w:t>
      </w:r>
    </w:p>
    <w:p>
      <w:pPr>
        <w:pStyle w:val="Heading2"/>
      </w:pPr>
      <w:r>
        <w:t xml:space="preserve">Reference deployment specification</w:t>
      </w:r>
    </w:p>
    <w:p>
      <w:pPr>
        <w:spacing w:after="160" w:line="276"/>
        <w:jc w:val="both"/>
      </w:pPr>
      <w:r>
        <w:t xml:space="preserve">The system runs as a cloud API router in front of hosted vendor models. There is no on-premises model or hardware in the benchmarked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Component</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Specification</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Router software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vLLM Semantic Router (v0.3), Envoy ingress with an external-processing classifier</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Deployment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Cloud API router; thin classification hop ahead of the vendor model call</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Classifier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mmbert-embed-32k-2d-matryoshka embedding model</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Supporting services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Postgres and Redis backends bundled with the router stack</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Interface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OpenAI-compatible chat-completions endpoint, in and out</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T1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gpt-5-nano, gemini-3.1-flash-lite</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T2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gpt-5.4-nano, gemini-2.5-flash</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T3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claude-haiku-4-5, gpt-5.4-mini, gemini-3.5-flash</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T4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claude-sonnet-4-5, gpt-5.4, gemini-3.1-pro</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T5 models (frontier and gold)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Opus 4.7, GPT-5.5</w:t>
            </w:r>
          </w:p>
        </w:tc>
      </w:tr>
      <w:tr>
        <w:trPr>
          <w:cantSplit/>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Judges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Two independent LLM evaluators</w:t>
            </w:r>
          </w:p>
        </w:tc>
      </w:tr>
    </w:tbl>
    <w:p>
      <w:pPr>
        <w:spacing w:after="120"/>
      </w:pPr>
      <w:r>
        <w:t xml:space="preserve"/>
      </w:r>
    </w:p>
    <w:p>
      <w:pPr>
        <w:spacing w:after="160" w:line="276"/>
        <w:jc w:val="both"/>
      </w:pPr>
      <w:r>
        <w:t xml:space="preserve">Why this shape works: the router is a small classifier, so it sits in the request path as an inexpensive hop rather than a second model call, and every tier is a managed vendor endpoint that the operator does not have to host or scale. Because all tiers and the router speak the same OpenAI-compatible API, the entire system is a configuration change in front of an existing frontier deployment. The benchmarked results in this paper reflect that cloud-only configuration end to end.</w:t>
      </w:r>
    </w:p>
    <w:p>
      <w:pPr>
        <w:pStyle w:val="Heading1"/>
      </w:pPr>
      <w:r>
        <w:t xml:space="preserve">References</w:t>
      </w:r>
    </w:p>
    <w:p>
      <w:pPr>
        <w:spacing w:after="100"/>
      </w:pPr>
      <w:r>
        <w:rPr>
          <w:b/>
          <w:bCs/>
        </w:rPr>
        <w:t xml:space="preserve">[1] </w:t>
      </w:r>
      <w:r>
        <w:t xml:space="preserve">RouteLLM: Learning to Route LLMs with Preference Data (Ong et al., 2024). </w:t>
      </w:r>
      <w:hyperlink w:history="1" r:id="rIdaewtipku5eiji5vscm80f">
        <w:r>
          <w:rPr>
            <w:rStyle w:val="Hyperlink"/>
          </w:rPr>
          <w:t xml:space="preserve">https://arxiv.org/pdf/2406.18665</w:t>
        </w:r>
      </w:hyperlink>
    </w:p>
    <w:p>
      <w:pPr>
        <w:spacing w:after="100"/>
      </w:pPr>
      <w:r>
        <w:rPr>
          <w:b/>
          <w:bCs/>
        </w:rPr>
        <w:t xml:space="preserve">[2] </w:t>
      </w:r>
      <w:r>
        <w:t xml:space="preserve">RouteLLM: An Open-Source Framework for Cost-Effective LLM Routing, LMSYS Blog (2024). </w:t>
      </w:r>
      <w:hyperlink w:history="1" r:id="rIdmbqc0ab-tkcbbfjr0mjgs">
        <w:r>
          <w:rPr>
            <w:rStyle w:val="Hyperlink"/>
          </w:rPr>
          <w:t xml:space="preserve">https://lmsys.org/blog/2024-07-01-routellm/</w:t>
        </w:r>
      </w:hyperlink>
    </w:p>
    <w:p>
      <w:pPr>
        <w:spacing w:after="100"/>
      </w:pPr>
      <w:r>
        <w:rPr>
          <w:b/>
          <w:bCs/>
        </w:rPr>
        <w:t xml:space="preserve">[3] </w:t>
      </w:r>
      <w:r>
        <w:t xml:space="preserve">Bringing intelligent, efficient routing to open source AI with vLLM Semantic Router, Red Hat (2025). </w:t>
      </w:r>
      <w:hyperlink w:history="1" r:id="rIdojpom-upg74jj5_qhldly">
        <w:r>
          <w:rPr>
            <w:rStyle w:val="Hyperlink"/>
          </w:rPr>
          <w:t xml:space="preserve">https://www.redhat.com/en/blog/bringing-intelligent-efficient-routing-open-source-ai-vllm-semantic-router</w:t>
        </w:r>
      </w:hyperlink>
    </w:p>
    <w:p>
      <w:pPr>
        <w:spacing w:after="100"/>
      </w:pPr>
      <w:r>
        <w:rPr>
          <w:b/>
          <w:bCs/>
        </w:rPr>
        <w:t xml:space="preserve">[4] </w:t>
      </w:r>
      <w:r>
        <w:t xml:space="preserve">vLLM Semantic Router: Next Phase in LLM inference, vLLM Blog (2025). </w:t>
      </w:r>
      <w:hyperlink w:history="1" r:id="rIdvsbocfpeobwnibl94k9f-">
        <w:r>
          <w:rPr>
            <w:rStyle w:val="Hyperlink"/>
          </w:rPr>
          <w:t xml:space="preserve">https://blog.vllm.ai/2025/09/11/semantic-router.html</w:t>
        </w:r>
      </w:hyperlink>
    </w:p>
    <w:p>
      <w:pPr>
        <w:spacing w:after="100"/>
      </w:pPr>
      <w:r>
        <w:rPr>
          <w:b/>
          <w:bCs/>
        </w:rPr>
        <w:t xml:space="preserve">[5] </w:t>
      </w:r>
      <w:r>
        <w:t xml:space="preserve">When to Reason: Semantic Router for vLLM (2025). </w:t>
      </w:r>
      <w:hyperlink w:history="1" r:id="rIdssaw80flionwqffkbxoel">
        <w:r>
          <w:rPr>
            <w:rStyle w:val="Hyperlink"/>
          </w:rPr>
          <w:t xml:space="preserve">https://arxiv.org/pdf/2510.08731</w:t>
        </w:r>
      </w:hyperlink>
    </w:p>
    <w:p>
      <w:pPr>
        <w:spacing w:after="100"/>
      </w:pPr>
      <w:r>
        <w:rPr>
          <w:b/>
          <w:bCs/>
        </w:rPr>
        <w:t xml:space="preserve">[6] </w:t>
      </w:r>
      <w:r>
        <w:t xml:space="preserve">Building an LLM Router for High-Quality and Cost-Effective Responses, Anyscale. </w:t>
      </w:r>
      <w:hyperlink w:history="1" r:id="rIdygtoum1diyhjhkiid0yaj">
        <w:r>
          <w:rPr>
            <w:rStyle w:val="Hyperlink"/>
          </w:rPr>
          <w:t xml:space="preserve">https://www.anyscale.com/blog/building-an-llm-router-for-high-quality-and-cost-effective-responses</w:t>
        </w:r>
      </w:hyperlink>
    </w:p>
    <w:p>
      <w:pPr>
        <w:spacing w:after="100"/>
      </w:pPr>
      <w:r>
        <w:rPr>
          <w:b/>
          <w:bCs/>
        </w:rPr>
        <w:t xml:space="preserve">[7] </w:t>
      </w:r>
      <w:r>
        <w:t xml:space="preserve">ChatGPT users send 2.5 billion prompts a day, TechCrunch (2025). </w:t>
      </w:r>
      <w:hyperlink w:history="1" r:id="rId8bfjxralh6kuqrqewvatr">
        <w:r>
          <w:rPr>
            <w:rStyle w:val="Hyperlink"/>
          </w:rPr>
          <w:t xml:space="preserve">https://techcrunch.com/2025/07/21/chatgpt-users-send-2-5-billion-prompts-a-day/</w:t>
        </w:r>
      </w:hyperlink>
    </w:p>
    <w:p>
      <w:pPr>
        <w:spacing w:after="100"/>
      </w:pPr>
      <w:r>
        <w:rPr>
          <w:b/>
          <w:bCs/>
        </w:rPr>
        <w:t xml:space="preserve">[8] </w:t>
      </w:r>
      <w:r>
        <w:t xml:space="preserve">What people do with Copilot: The Copilot Usage Report 2025, Microsoft AI. </w:t>
      </w:r>
      <w:hyperlink w:history="1" r:id="rId4kfnucvsj_di6tsowdeh_">
        <w:r>
          <w:rPr>
            <w:rStyle w:val="Hyperlink"/>
          </w:rPr>
          <w:t xml:space="preserve">https://microsoft.ai/wp-content/uploads/2025/12/What_people_do_with_Copilot-8.pdf</w:t>
        </w:r>
      </w:hyperlink>
    </w:p>
    <w:p>
      <w:pPr>
        <w:spacing w:after="120"/>
      </w:pPr>
      <w:r>
        <w:t xml:space="preserve"/>
      </w:r>
    </w:p>
    <w:p>
      <w:r>
        <w:rPr>
          <w:i/>
          <w:iCs/>
          <w:color w:val="46566b"/>
          <w:sz w:val="18"/>
          <w:szCs w:val="18"/>
        </w:rPr>
        <w:t xml:space="preserve">Benchmark figures are computed from measured per-query token counts at current supplier pricing. Cost figures use a per-query method: routed cost is the measured cost of the model used for the routed tier, and the baseline reprices each query's frontier reference answer at the frontier rate. Averages are taken over the benchmark set, then scaled by volume. The benchmark-mix figure reflects the measured traffic directly; the simple-weighted figure re-weights the same per-query costs to an illustrative 60/20/12/5/3 distribution across tiers T1 through T5, representing easy-heavy production traffic. The per-user query rate used in Section 2 (about 50 queries per active user per workday) is a midpoint drawn from published 2025 enterprise usage data, references 7 and 8.</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6566b"/>
        <w:sz w:val="16"/>
        <w:szCs w:val="16"/>
      </w:rPr>
      <w:t xml:space="preserve">Cloud semantic routing for LLM inference  |  </w:t>
    </w:r>
    <w:r>
      <w:rPr>
        <w:color w:val="46566b"/>
        <w:sz w:val="16"/>
        <w:szCs w:val="16"/>
      </w:rPr>
      <w:t xml:space="preserve">Page </w:t>
    </w:r>
    <w:r>
      <w:rPr>
        <w:color w:val="4656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40"/>
      </w:pPr>
    </w:lvl>
  </w:abstractNum>
  <w:abstractNum w:abstractNumId="3" w15:restartNumberingAfterBreak="0">
    <w:multiLevelType w:val="hybridMultilevel"/>
    <w:lvl w:ilvl="0" w15:tentative="1">
      <w:start w:val="1"/>
      <w:numFmt w:val="decimal"/>
      <w:lvlText w:val="%1."/>
      <w:lvlJc w:val="left"/>
      <w:pPr>
        <w:ind w:left="6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b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7a8c" w:sz="6" w:space="4"/>
      </w:pBdr>
      <w:spacing w:after="160" w:before="300"/>
      <w:outlineLvl w:val="0"/>
    </w:pPr>
    <w:rPr>
      <w:rFonts w:ascii="Arial" w:cs="Arial" w:eastAsia="Arial" w:hAnsi="Arial"/>
      <w:b/>
      <w:bCs/>
      <w:color w:val="1b2733"/>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1f7a8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ewtipku5eiji5vscm80f" Type="http://schemas.openxmlformats.org/officeDocument/2006/relationships/hyperlink" Target="https://arxiv.org/pdf/2406.18665" TargetMode="External"/><Relationship Id="rIdmbqc0ab-tkcbbfjr0mjgs" Type="http://schemas.openxmlformats.org/officeDocument/2006/relationships/hyperlink" Target="https://lmsys.org/blog/2024-07-01-routellm/" TargetMode="External"/><Relationship Id="rIdojpom-upg74jj5_qhldly" Type="http://schemas.openxmlformats.org/officeDocument/2006/relationships/hyperlink" Target="https://www.redhat.com/en/blog/bringing-intelligent-efficient-routing-open-source-ai-vllm-semantic-router" TargetMode="External"/><Relationship Id="rIdvsbocfpeobwnibl94k9f-" Type="http://schemas.openxmlformats.org/officeDocument/2006/relationships/hyperlink" Target="https://blog.vllm.ai/2025/09/11/semantic-router.html" TargetMode="External"/><Relationship Id="rIdssaw80flionwqffkbxoel" Type="http://schemas.openxmlformats.org/officeDocument/2006/relationships/hyperlink" Target="https://arxiv.org/pdf/2510.08731" TargetMode="External"/><Relationship Id="rIdygtoum1diyhjhkiid0yaj" Type="http://schemas.openxmlformats.org/officeDocument/2006/relationships/hyperlink" Target="https://www.anyscale.com/blog/building-an-llm-router-for-high-quality-and-cost-effective-responses" TargetMode="External"/><Relationship Id="rId8bfjxralh6kuqrqewvatr" Type="http://schemas.openxmlformats.org/officeDocument/2006/relationships/hyperlink" Target="https://techcrunch.com/2025/07/21/chatgpt-users-send-2-5-billion-prompts-a-day/" TargetMode="External"/><Relationship Id="rId4kfnucvsj_di6tsowdeh_" Type="http://schemas.openxmlformats.org/officeDocument/2006/relationships/hyperlink" Target="https://microsoft.ai/wp-content/uploads/2025/12/What_people_do_with_Copilot-8.pdf" TargetMode="External"/><Relationship Id="rId8" Type="http://schemas.openxmlformats.org/officeDocument/2006/relationships/image" Target="media/26eb5becbd85f3aee3223ef56a6ae331d667f1d5.png"/><Relationship Id="rId9" Type="http://schemas.openxmlformats.org/officeDocument/2006/relationships/image" Target="media/00d17681463f0cf1f5080478c0b26156ca8833c8.png"/><Relationship Id="rId10" Type="http://schemas.openxmlformats.org/officeDocument/2006/relationships/image" Target="media/f8245c6ed045d75f5a59a20dcb74f60ca0406b8d.png"/><Relationship Id="rId11" Type="http://schemas.openxmlformats.org/officeDocument/2006/relationships/image" Target="media/b7b3b3e31a2353917e10c52b78013b85578852de.png"/><Relationship Id="rId12" Type="http://schemas.openxmlformats.org/officeDocument/2006/relationships/image" Target="media/479302ffb7ab6f1ebbee300b5edda7a360bd6889.png"/><Relationship Id="rId13" Type="http://schemas.openxmlformats.org/officeDocument/2006/relationships/image" Target="media/f7085bfec5fc7170694c8ec40c405c6766564089.png"/><Relationship Id="rId14" Type="http://schemas.openxmlformats.org/officeDocument/2006/relationships/image" Target="media/50d37a58930960b172b236a87dad3b77463e4cec.png"/><Relationship Id="rId15" Type="http://schemas.openxmlformats.org/officeDocument/2006/relationships/image" Target="media/0bfa6f2799c49841ec0751976fcf01cf2495d9b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Right-Sizing the Model to the Question</dc:title>
  <dc:creator>Semantic Router Benchmark Harness</dc:creator>
  <cp:lastModifiedBy>Un-named</cp:lastModifiedBy>
  <cp:revision>1</cp:revision>
  <dcterms:created xsi:type="dcterms:W3CDTF">2026-06-16T14:34:47.657Z</dcterms:created>
  <dcterms:modified xsi:type="dcterms:W3CDTF">2026-06-16T14:34:47.661Z</dcterms:modified>
</cp:coreProperties>
</file>

<file path=docProps/custom.xml><?xml version="1.0" encoding="utf-8"?>
<Properties xmlns="http://schemas.openxmlformats.org/officeDocument/2006/custom-properties" xmlns:vt="http://schemas.openxmlformats.org/officeDocument/2006/docPropsVTypes"/>
</file>