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2E75B6"/>
          <w:sz w:val="22"/>
          <w:szCs w:val="22"/>
        </w:rPr>
        <w:t xml:space="preserve">WHITE PAPER</w:t>
      </w:r>
    </w:p>
    <w:p>
      <w:pPr>
        <w:pBdr>
          <w:bottom w:val="single" w:color="2E75B6" w:sz="12" w:space="6"/>
        </w:pBdr>
        <w:spacing w:after="240" w:before="0"/>
      </w:pPr>
      <w:r>
        <w:rPr>
          <w:rFonts w:ascii="Arial" w:cs="Arial" w:eastAsia="Arial" w:hAnsi="Arial"/>
          <w:sz w:val="20"/>
          <w:szCs w:val="20"/>
        </w:rPr>
        <w:t xml:space="preserve"/>
      </w:r>
    </w:p>
    <w:p>
      <w:pPr>
        <w:spacing w:after="120" w:before="240"/>
      </w:pPr>
      <w:r>
        <w:rPr>
          <w:rFonts w:ascii="Arial" w:cs="Arial" w:eastAsia="Arial" w:hAnsi="Arial"/>
          <w:b/>
          <w:bCs/>
          <w:color w:val="1F3864"/>
          <w:sz w:val="48"/>
          <w:szCs w:val="48"/>
        </w:rPr>
        <w:t xml:space="preserve">Cutting Cloud LLM Costs with Semantic Routing</w:t>
      </w:r>
    </w:p>
    <w:p>
      <w:pPr>
        <w:spacing w:after="240" w:before="0"/>
      </w:pPr>
      <w:r>
        <w:rPr>
          <w:rFonts w:ascii="Arial" w:cs="Arial" w:eastAsia="Arial" w:hAnsi="Arial"/>
          <w:color w:val="595959"/>
          <w:sz w:val="32"/>
          <w:szCs w:val="32"/>
        </w:rPr>
        <w:t xml:space="preserve">Tier-Aware Query Routing for API-Based Inference</w:t>
      </w:r>
    </w:p>
    <w:p>
      <w:pPr>
        <w:spacing w:after="120" w:before="240"/>
      </w:pPr>
      <w:r>
        <w:rPr>
          <w:rFonts w:ascii="Arial" w:cs="Arial" w:eastAsia="Arial" w:hAnsi="Arial"/>
          <w:i/>
          <w:iCs/>
          <w:color w:val="595959"/>
          <w:sz w:val="24"/>
          <w:szCs w:val="24"/>
        </w:rPr>
        <w:t xml:space="preserve">Built on the vLLM Semantic Router (vllm-sr)</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4"/>
              <w:left w:val="single" w:color="2E75B6" w:sz="4"/>
              <w:bottom w:val="single" w:color="2E75B6" w:sz="4"/>
              <w:right w:val="single" w:color="2E75B6" w:sz="4"/>
            </w:tcBorders>
            <w:shd w:fill="1F3864" w:val="clear"/>
            <w:tcMar>
              <w:top w:type="dxa" w:w="200"/>
              <w:left w:type="dxa" w:w="200"/>
              <w:bottom w:type="dxa" w:w="200"/>
              <w:right w:type="dxa" w:w="200"/>
            </w:tcMar>
            <w:vAlign w:val="center"/>
          </w:tcPr>
          <w:p>
            <w:pPr>
              <w:spacing w:after="60" w:before="0"/>
              <w:jc w:val="center"/>
            </w:pPr>
            <w:r>
              <w:rPr>
                <w:rFonts w:ascii="Arial" w:cs="Arial" w:eastAsia="Arial" w:hAnsi="Arial"/>
                <w:color w:val="FFFFFF"/>
                <w:sz w:val="24"/>
                <w:szCs w:val="24"/>
              </w:rPr>
              <w:t xml:space="preserve">Up to</w:t>
            </w:r>
          </w:p>
          <w:p>
            <w:pPr>
              <w:spacing w:after="60" w:before="60"/>
              <w:jc w:val="center"/>
            </w:pPr>
            <w:r>
              <w:rPr>
                <w:rFonts w:ascii="Arial" w:cs="Arial" w:eastAsia="Arial" w:hAnsi="Arial"/>
                <w:b/>
                <w:bCs/>
                <w:color w:val="FFFFFF"/>
                <w:sz w:val="88"/>
                <w:szCs w:val="88"/>
              </w:rPr>
              <w:t xml:space="preserve">76%</w:t>
            </w:r>
          </w:p>
          <w:p>
            <w:pPr>
              <w:spacing w:after="0" w:before="60"/>
              <w:jc w:val="center"/>
            </w:pPr>
            <w:r>
              <w:rPr>
                <w:rFonts w:ascii="Arial" w:cs="Arial" w:eastAsia="Arial" w:hAnsi="Arial"/>
                <w:color w:val="FFFFFF"/>
                <w:sz w:val="22"/>
                <w:szCs w:val="22"/>
              </w:rPr>
              <w:t xml:space="preserve">Cloud Inference Cost Reduction</w:t>
            </w:r>
          </w:p>
        </w:tc>
        <w:tc>
          <w:tcPr>
            <w:tcW w:type="dxa" w:w="6240"/>
            <w:tcBorders>
              <w:top w:val="single" w:color="2E75B6" w:sz="4"/>
              <w:left w:val="single" w:color="2E75B6" w:sz="4"/>
              <w:bottom w:val="single" w:color="2E75B6" w:sz="4"/>
              <w:right w:val="single" w:color="2E75B6" w:sz="4"/>
            </w:tcBorders>
            <w:shd w:fill="E7F0F8" w:val="clear"/>
            <w:tcMar>
              <w:top w:type="dxa" w:w="200"/>
              <w:left w:type="dxa" w:w="240"/>
              <w:bottom w:type="dxa" w:w="200"/>
              <w:right w:type="dxa" w:w="200"/>
            </w:tcMar>
            <w:vAlign w:val="center"/>
          </w:tcPr>
          <w:p>
            <w:pPr>
              <w:spacing w:after="100" w:before="0"/>
            </w:pPr>
            <w:r>
              <w:rPr>
                <w:rFonts w:ascii="Arial" w:cs="Arial" w:eastAsia="Arial" w:hAnsi="Arial"/>
                <w:b/>
                <w:bCs/>
                <w:color w:val="1F3864"/>
                <w:sz w:val="22"/>
                <w:szCs w:val="22"/>
              </w:rPr>
              <w:t xml:space="preserve">Headline benchmark result</w:t>
            </w:r>
          </w:p>
          <w:p>
            <w:pPr>
              <w:spacing w:after="60" w:before="60" w:line="300"/>
              <w:jc w:val="both"/>
            </w:pPr>
            <w:r>
              <w:rPr>
                <w:rFonts w:ascii="Arial" w:cs="Arial" w:eastAsia="Arial" w:hAnsi="Arial"/>
                <w:sz w:val="22"/>
                <w:szCs w:val="22"/>
              </w:rPr>
              <w:t xml:space="preserve">Across a 120-query enterprise workload, routing each request to the smallest cloud model capable of answering it cuts spend from $5.56 to $1.35 while preserving answer adequacy at 94.3%.</w:t>
            </w:r>
          </w:p>
          <w:p>
            <w:pPr>
              <w:spacing w:after="0" w:before="80"/>
            </w:pPr>
            <w:r>
              <w:rPr>
                <w:rFonts w:ascii="Arial" w:cs="Arial" w:eastAsia="Arial" w:hAnsi="Arial"/>
                <w:i/>
                <w:iCs/>
                <w:color w:val="595959"/>
                <w:sz w:val="22"/>
                <w:szCs w:val="22"/>
              </w:rPr>
              <w:t xml:space="preserve">At 100,000 cloud queries per day, that is roughly $1.28M in avoided annual inference spend.</w:t>
            </w:r>
          </w:p>
        </w:tc>
      </w:tr>
    </w:tbl>
    <w:p>
      <w:r>
        <w:br w:type="page"/>
      </w:r>
    </w:p>
    <w:p>
      <w:pPr>
        <w:pStyle w:val="Heading1"/>
        <w:spacing w:after="180" w:before="360"/>
      </w:pPr>
      <w:r>
        <w:rPr>
          <w:rFonts w:ascii="Arial" w:cs="Arial" w:eastAsia="Arial" w:hAnsi="Arial"/>
          <w:b/>
          <w:bCs/>
          <w:color w:val="1F3864"/>
          <w:sz w:val="32"/>
          <w:szCs w:val="32"/>
        </w:rPr>
        <w:t xml:space="preserve">Executive Summary</w:t>
      </w:r>
    </w:p>
    <w:p>
      <w:pPr>
        <w:spacing w:after="80" w:before="80" w:line="320"/>
        <w:jc w:val="both"/>
      </w:pPr>
      <w:r>
        <w:rPr>
          <w:rFonts w:ascii="Arial" w:cs="Arial" w:eastAsia="Arial" w:hAnsi="Arial"/>
          <w:sz w:val="22"/>
          <w:szCs w:val="22"/>
        </w:rPr>
        <w:t xml:space="preserve">Cloud-hosted large language models have become foundational infrastructure for modern enterprise applications, but the economics of using them are deteriorating. As workloads grow and product teams reach for frontier-class models to insulate against quality risk, input and output token volumes accumulate against the most expensive endpoint in the provider's catalog. The bill rises faster than usage because every query — trivial or complex — is being answered by a model priced for the hardest questions in the corpus.</w:t>
      </w:r>
    </w:p>
    <w:p>
      <w:pPr>
        <w:spacing w:after="80" w:before="80" w:line="320"/>
        <w:jc w:val="both"/>
      </w:pPr>
      <w:r>
        <w:rPr>
          <w:rFonts w:ascii="Arial" w:cs="Arial" w:eastAsia="Arial" w:hAnsi="Arial"/>
          <w:sz w:val="22"/>
          <w:szCs w:val="22"/>
        </w:rPr>
        <w:t xml:space="preserve">This pattern is rarely the result of a single bad decision. It emerges naturally from a structural one: routing logic is collapsed into prompt construction, and the choice of model is made once, in application code, with no per-query awareness of difficulty. A factual lookup, a code review, and a multi-page strategy analysis all consume the same per-token rate. Provider price differences between mid-tier and frontier models can exceed an order of magnitude, but the workload does not exploit that gradient.</w:t>
      </w:r>
    </w:p>
    <w:p>
      <w:pPr>
        <w:spacing w:after="80" w:before="80" w:line="320"/>
        <w:jc w:val="both"/>
      </w:pPr>
      <w:r>
        <w:rPr>
          <w:rFonts w:ascii="Arial" w:cs="Arial" w:eastAsia="Arial" w:hAnsi="Arial"/>
          <w:sz w:val="22"/>
          <w:szCs w:val="22"/>
        </w:rPr>
        <w:t xml:space="preserve">This white paper describes how a semantic router resolves the structural problem. A semantic router sits in front of the LLM API surface, evaluates each incoming query on a small set of complexity signals, and forwards the request to the cheapest cloud tier capable of meeting the quality bar for that query. The router is itself a lightweight service — it does not generate answers; it makes a single decision per request and adds bounded, predictable latency. The expensive frontier model is reserved for genuinely frontier work.</w:t>
      </w:r>
    </w:p>
    <w:p>
      <w:pPr>
        <w:spacing w:after="80" w:before="80" w:line="320"/>
        <w:jc w:val="both"/>
      </w:pPr>
      <w:r>
        <w:rPr>
          <w:rFonts w:ascii="Arial" w:cs="Arial" w:eastAsia="Arial" w:hAnsi="Arial"/>
          <w:sz w:val="22"/>
          <w:szCs w:val="22"/>
        </w:rPr>
        <w:t xml:space="preserve">The implementation evaluated in this paper is built on the open-source vLLM Semantic Router (vllm-sr). It uses contrastive-embedding exemplars to recognize query archetypes, combines several complementary signals into a continuous difficulty score, and partitions that score into mutually-exclusive tier bands. A benchmark of 120 curated production-shaped queries was run end-to-end through the router and the per-tier cloud endpoints. The headline result is a 76% reduction in inference spend against a frontier-only baseline, with adequacy of routed answers measured at 94.3% on a four-dimension rubric.</w:t>
      </w:r>
    </w:p>
    <w:p>
      <w:pPr>
        <w:spacing w:after="80" w:before="80" w:line="320"/>
        <w:jc w:val="both"/>
      </w:pPr>
      <w:r>
        <w:rPr>
          <w:rFonts w:ascii="Arial" w:cs="Arial" w:eastAsia="Arial" w:hAnsi="Arial"/>
          <w:sz w:val="22"/>
          <w:szCs w:val="22"/>
        </w:rPr>
        <w:t xml:space="preserve">Treating model selection as routing infrastructure, not as an application concern, makes cost a controllable variable rather than an emergent one. The sections that follow describe the architecture, the router training process, the benchmark methodology, the per-tier cost numbers, and a practical implementation guide that an engineering team can follow to put this pattern into production.</w:t>
      </w:r>
    </w:p>
    <w:p>
      <w:pPr>
        <w:spacing w:after="60" w:before="60"/>
      </w:pPr>
      <w:r>
        <w:rPr>
          <w:rFonts w:ascii="Arial" w:cs="Arial" w:eastAsia="Arial" w:hAnsi="Arial"/>
          <w:sz w:val="22"/>
          <w:szCs w:val="22"/>
        </w:rPr>
        <w:t xml:space="preserve"> </w:t>
      </w:r>
    </w:p>
    <w:p>
      <w:pPr>
        <w:pStyle w:val="Heading2"/>
        <w:spacing w:after="140" w:before="280"/>
      </w:pPr>
      <w:r>
        <w:rPr>
          <w:rFonts w:ascii="Arial" w:cs="Arial" w:eastAsia="Arial" w:hAnsi="Arial"/>
          <w:b/>
          <w:bCs/>
          <w:color w:val="1F3864"/>
          <w:sz w:val="26"/>
          <w:szCs w:val="26"/>
        </w:rPr>
        <w:t xml:space="preserve">What You Will Learn</w:t>
      </w:r>
    </w:p>
    <w:p>
      <w:pPr>
        <w:pStyle w:val="ListParagraph"/>
        <w:numPr>
          <w:ilvl w:val="0"/>
          <w:numId w:val="2"/>
        </w:numPr>
        <w:spacing w:after="40" w:before="40" w:line="300"/>
      </w:pPr>
      <w:r>
        <w:rPr>
          <w:rFonts w:ascii="Arial" w:cs="Arial" w:eastAsia="Arial" w:hAnsi="Arial"/>
          <w:sz w:val="22"/>
          <w:szCs w:val="22"/>
        </w:rPr>
        <w:t xml:space="preserve">Why a single-model strategy structurally accumulates cloud LLM cost at scale, and how the gradient between mid-tier and frontier pricing creates the savings opportunity.</w:t>
      </w:r>
    </w:p>
    <w:p>
      <w:pPr>
        <w:pStyle w:val="ListParagraph"/>
        <w:numPr>
          <w:ilvl w:val="0"/>
          <w:numId w:val="2"/>
        </w:numPr>
        <w:spacing w:after="40" w:before="40" w:line="300"/>
      </w:pPr>
      <w:r>
        <w:rPr>
          <w:rFonts w:ascii="Arial" w:cs="Arial" w:eastAsia="Arial" w:hAnsi="Arial"/>
          <w:sz w:val="22"/>
          <w:szCs w:val="22"/>
        </w:rPr>
        <w:t xml:space="preserve">How the vLLM Semantic Router separates routing from inference, and why that separation is the key architectural move.</w:t>
      </w:r>
    </w:p>
    <w:p>
      <w:pPr>
        <w:pStyle w:val="ListParagraph"/>
        <w:numPr>
          <w:ilvl w:val="0"/>
          <w:numId w:val="2"/>
        </w:numPr>
        <w:spacing w:after="40" w:before="40" w:line="300"/>
      </w:pPr>
      <w:r>
        <w:rPr>
          <w:rFonts w:ascii="Arial" w:cs="Arial" w:eastAsia="Arial" w:hAnsi="Arial"/>
          <w:sz w:val="22"/>
          <w:szCs w:val="22"/>
        </w:rPr>
        <w:t xml:space="preserve">How to design a cloud-only tier ladder (T3, T4, T5) that maps directly to your provider's price points.</w:t>
      </w:r>
    </w:p>
    <w:p>
      <w:pPr>
        <w:pStyle w:val="ListParagraph"/>
        <w:numPr>
          <w:ilvl w:val="0"/>
          <w:numId w:val="2"/>
        </w:numPr>
        <w:spacing w:after="40" w:before="40" w:line="300"/>
      </w:pPr>
      <w:r>
        <w:rPr>
          <w:rFonts w:ascii="Arial" w:cs="Arial" w:eastAsia="Arial" w:hAnsi="Arial"/>
          <w:sz w:val="22"/>
          <w:szCs w:val="22"/>
        </w:rPr>
        <w:t xml:space="preserve">How contrastive-embedding exemplars, structure signals, and a weighted-sum projection produce a stable per-query difficulty score.</w:t>
      </w:r>
    </w:p>
    <w:p>
      <w:pPr>
        <w:pStyle w:val="ListParagraph"/>
        <w:numPr>
          <w:ilvl w:val="0"/>
          <w:numId w:val="2"/>
        </w:numPr>
        <w:spacing w:after="40" w:before="40" w:line="300"/>
      </w:pPr>
      <w:r>
        <w:rPr>
          <w:rFonts w:ascii="Arial" w:cs="Arial" w:eastAsia="Arial" w:hAnsi="Arial"/>
          <w:sz w:val="22"/>
          <w:szCs w:val="22"/>
        </w:rPr>
        <w:t xml:space="preserve">How to train the router for your own workload, how to tune tier cutoffs against observed traffic, and how to keep training data from leaking into your evaluation set.</w:t>
      </w:r>
    </w:p>
    <w:p>
      <w:pPr>
        <w:pStyle w:val="ListParagraph"/>
        <w:numPr>
          <w:ilvl w:val="0"/>
          <w:numId w:val="2"/>
        </w:numPr>
        <w:spacing w:after="40" w:before="40" w:line="300"/>
      </w:pPr>
      <w:r>
        <w:rPr>
          <w:rFonts w:ascii="Arial" w:cs="Arial" w:eastAsia="Arial" w:hAnsi="Arial"/>
          <w:sz w:val="22"/>
          <w:szCs w:val="22"/>
        </w:rPr>
        <w:t xml:space="preserve">The benchmark methodology used to validate the router and the per-tier adequacy results across 120 production-shaped queries.</w:t>
      </w:r>
    </w:p>
    <w:p>
      <w:pPr>
        <w:pStyle w:val="ListParagraph"/>
        <w:numPr>
          <w:ilvl w:val="0"/>
          <w:numId w:val="2"/>
        </w:numPr>
        <w:spacing w:after="40" w:before="40" w:line="300"/>
      </w:pPr>
      <w:r>
        <w:rPr>
          <w:rFonts w:ascii="Arial" w:cs="Arial" w:eastAsia="Arial" w:hAnsi="Arial"/>
          <w:sz w:val="22"/>
          <w:szCs w:val="22"/>
        </w:rPr>
        <w:t xml:space="preserve">The cost impact at enterprise scale, with concrete annual savings projections at 1,000, 10,000, 100,000, and 1,000,000 queries per day.</w:t>
      </w:r>
    </w:p>
    <w:p>
      <w:pPr>
        <w:pStyle w:val="ListParagraph"/>
        <w:numPr>
          <w:ilvl w:val="0"/>
          <w:numId w:val="2"/>
        </w:numPr>
        <w:spacing w:after="40" w:before="40" w:line="300"/>
      </w:pPr>
      <w:r>
        <w:rPr>
          <w:rFonts w:ascii="Arial" w:cs="Arial" w:eastAsia="Arial" w:hAnsi="Arial"/>
          <w:sz w:val="22"/>
          <w:szCs w:val="22"/>
        </w:rPr>
        <w:t xml:space="preserve">How to operationalize this in your own environment: deployment topology, observability, failure modes, and rollout strategy.</w:t>
      </w:r>
    </w:p>
    <w:p>
      <w:r>
        <w:br w:type="page"/>
      </w:r>
    </w:p>
    <w:p>
      <w:pPr>
        <w:pStyle w:val="Heading1"/>
        <w:spacing w:after="180" w:before="360"/>
      </w:pPr>
      <w:r>
        <w:rPr>
          <w:rFonts w:ascii="Arial" w:cs="Arial" w:eastAsia="Arial" w:hAnsi="Arial"/>
          <w:b/>
          <w:bCs/>
          <w:color w:val="1F3864"/>
          <w:sz w:val="32"/>
          <w:szCs w:val="32"/>
        </w:rPr>
        <w:t xml:space="preserve">Section 1: The Cost Problem with Frontier-Only Inference</w:t>
      </w:r>
    </w:p>
    <w:p>
      <w:pPr>
        <w:spacing w:after="80" w:before="80" w:line="320"/>
        <w:jc w:val="both"/>
      </w:pPr>
      <w:r>
        <w:rPr>
          <w:rFonts w:ascii="Arial" w:cs="Arial" w:eastAsia="Arial" w:hAnsi="Arial"/>
          <w:sz w:val="22"/>
          <w:szCs w:val="22"/>
        </w:rPr>
        <w:t xml:space="preserve">In a typical enterprise deployment, an application team selects a single cloud LLM endpoint, integrates it through a vendor SDK, and ships. The model chosen is usually the strongest one available — frontier-class — because the team is unwilling to accept quality regressions on a small fraction of difficult requests, and it is operationally simpler to deploy against one endpoint than to manage a portfolio. This decision is defensible at launch. It becomes expensive as usage grows.</w:t>
      </w:r>
    </w:p>
    <w:p>
      <w:pPr>
        <w:spacing w:after="80" w:before="80" w:line="320"/>
        <w:jc w:val="both"/>
      </w:pPr>
      <w:r>
        <w:rPr>
          <w:rFonts w:ascii="Arial" w:cs="Arial" w:eastAsia="Arial" w:hAnsi="Arial"/>
          <w:sz w:val="22"/>
          <w:szCs w:val="22"/>
        </w:rPr>
        <w:t xml:space="preserve">The structural issue is that a production query distribution is not uniform. Most requests in any real workload are well below the frontier capability ceiling. Simple factual lookups, format conversions, short translations, basic arithmetic, and routine code completion together account for a large share of total traffic. These requests are answered correctly — sometimes with excessive elaboration — by models that cost a fraction of the frontier per token. A frontier-only deployment pays the frontier price for all of them anyway.</w:t>
      </w:r>
    </w:p>
    <w:p>
      <w:pPr>
        <w:spacing w:after="80" w:before="80" w:line="320"/>
        <w:jc w:val="both"/>
      </w:pPr>
      <w:r>
        <w:rPr>
          <w:rFonts w:ascii="Arial" w:cs="Arial" w:eastAsia="Arial" w:hAnsi="Arial"/>
          <w:sz w:val="22"/>
          <w:szCs w:val="22"/>
        </w:rPr>
        <w:t xml:space="preserve">The cost gap is not marginal. As of mid-2026, the published per-token rates for major cloud LLMs span more than an order of magnitude. A representative frontier model is priced near $15 per million input tokens and $75 per million output tokens. A mid-tier model from the same provider sits around $3 input and $15 output. An open-source frontier model served through a hosted inference API can fall below $1 per million tokens for both directions. The provider has already priced in the difficulty gradient; the workload simply is not exploiting it.</w:t>
      </w:r>
    </w:p>
    <w:p>
      <w:pPr>
        <w:spacing w:after="80" w:before="80" w:line="320"/>
        <w:jc w:val="both"/>
      </w:pPr>
      <w:r>
        <w:rPr>
          <w:rFonts w:ascii="Arial" w:cs="Arial" w:eastAsia="Arial" w:hAnsi="Arial"/>
          <w:sz w:val="22"/>
          <w:szCs w:val="22"/>
        </w:rPr>
        <w:t xml:space="preserve">Single-model deployments compound this in three ways. First, output tokens dominate cost, and frontier models tend to produce longer, more elaborated outputs even on questions that needed a single line. Second, application teams have no per-query budget signal, so the strongest model handles every request regardless of difficulty. Third, retries and follow-up clarifications inherit the frontier rate as well, multiplying the cost of any ambiguity in the original answer.</w:t>
      </w:r>
    </w:p>
    <w:p>
      <w:pPr>
        <w:spacing w:after="80" w:before="80" w:line="320"/>
        <w:jc w:val="both"/>
      </w:pPr>
      <w:r>
        <w:rPr>
          <w:rFonts w:ascii="Arial" w:cs="Arial" w:eastAsia="Arial" w:hAnsi="Arial"/>
          <w:sz w:val="22"/>
          <w:szCs w:val="22"/>
        </w:rPr>
        <w:t xml:space="preserve">These effects are familiar in retrieval-augmented generation pipelines, where prompt inflation becomes the dominant cost driver. The same dynamic applies to model selection. The cost of generation is governed by which model is asked to answer; if that decision is made once at deployment time, costs grow with traffic regardless of whether traffic complexity has changed.</w:t>
      </w:r>
    </w:p>
    <w:p>
      <w:pPr>
        <w:spacing w:after="80" w:before="80" w:line="320"/>
        <w:jc w:val="both"/>
      </w:pPr>
      <w:r>
        <w:rPr>
          <w:rFonts w:ascii="Arial" w:cs="Arial" w:eastAsia="Arial" w:hAnsi="Arial"/>
          <w:sz w:val="22"/>
          <w:szCs w:val="22"/>
        </w:rPr>
        <w:t xml:space="preserve">The shift required is to treat model selection as a per-query decision, made by infrastructure rather than by application code. The component that makes that decision is a semantic router. The router does not generate answers. It evaluates each request against a small set of signals, computes a difficulty score, and forwards the request to the smallest model in the tier ladder that can be expected to satisfy it. Model upgrades, model retirements, and price changes are handled in router configuration, not in application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7F0F8" w:val="clear"/>
            <w:tcMar>
              <w:top w:type="dxa" w:w="160"/>
              <w:left w:type="dxa" w:w="220"/>
              <w:bottom w:type="dxa" w:w="160"/>
              <w:right w:type="dxa" w:w="200"/>
            </w:tcMar>
          </w:tcPr>
          <w:p>
            <w:pPr>
              <w:spacing w:after="80" w:before="0"/>
            </w:pPr>
            <w:r>
              <w:rPr>
                <w:rFonts w:ascii="Arial" w:cs="Arial" w:eastAsia="Arial" w:hAnsi="Arial"/>
                <w:b/>
                <w:bCs/>
                <w:color w:val="1F3864"/>
                <w:sz w:val="24"/>
                <w:szCs w:val="24"/>
              </w:rPr>
              <w:t xml:space="preserve">Why this paper focuses on cloud tiers</w:t>
            </w:r>
          </w:p>
          <w:p>
            <w:pPr>
              <w:spacing w:after="60" w:before="60" w:line="300"/>
              <w:jc w:val="both"/>
            </w:pPr>
            <w:r>
              <w:rPr>
                <w:rFonts w:ascii="Arial" w:cs="Arial" w:eastAsia="Arial" w:hAnsi="Arial"/>
                <w:sz w:val="22"/>
                <w:szCs w:val="22"/>
              </w:rPr>
              <w:t xml:space="preserve">The vLLM Semantic Router supports hybrid deployments where small queries are absorbed by on-premises CPU models and only the harder queries are forwarded to a cloud provider. That hybrid topology has its own value proposition (data sovereignty, predictable infrastructure cost, regulatory posture), but it is out of scope here. This paper focuses exclusively on the cloud half of the routing decision — distributing traffic across three cloud price points (T3, T4, T5) — because that is where most organizations starting from a single-endpoint deployment will see the largest, most immediate cost reduction with the least operational change.</w:t>
            </w:r>
          </w:p>
        </w:tc>
      </w:tr>
    </w:tbl>
    <w:p>
      <w:r>
        <w:br w:type="page"/>
      </w:r>
    </w:p>
    <w:p>
      <w:pPr>
        <w:pStyle w:val="Heading1"/>
        <w:spacing w:after="180" w:before="360"/>
      </w:pPr>
      <w:r>
        <w:rPr>
          <w:rFonts w:ascii="Arial" w:cs="Arial" w:eastAsia="Arial" w:hAnsi="Arial"/>
          <w:b/>
          <w:bCs/>
          <w:color w:val="1F3864"/>
          <w:sz w:val="32"/>
          <w:szCs w:val="32"/>
        </w:rPr>
        <w:t xml:space="preserve">Section 2: Architectural Overview</w:t>
      </w:r>
    </w:p>
    <w:p>
      <w:pPr>
        <w:spacing w:after="80" w:before="80" w:line="320"/>
        <w:jc w:val="both"/>
      </w:pPr>
      <w:r>
        <w:rPr>
          <w:rFonts w:ascii="Arial" w:cs="Arial" w:eastAsia="Arial" w:hAnsi="Arial"/>
          <w:sz w:val="22"/>
          <w:szCs w:val="22"/>
        </w:rPr>
        <w:t xml:space="preserve">A semantic router is a routing-only service that sits between the application and the LLM API surface. Its responsibility is narrow and well-defined: for each incoming request, decide which downstream model should answer it, and forward the request unchanged. The router does not run inference. It does not modify the prompt beyond optional system-prompt injection. It does not buffer or batch. It makes a single decision per request, attaches metadata to the response, and gets out of the way.</w:t>
      </w:r>
    </w:p>
    <w:p>
      <w:pPr>
        <w:spacing w:after="80" w:before="80" w:line="320"/>
        <w:jc w:val="both"/>
      </w:pPr>
      <w:r>
        <w:rPr>
          <w:rFonts w:ascii="Arial" w:cs="Arial" w:eastAsia="Arial" w:hAnsi="Arial"/>
          <w:sz w:val="22"/>
          <w:szCs w:val="22"/>
        </w:rPr>
        <w:t xml:space="preserve">The architectural value of this separation is that model selection becomes a property of infrastructure. Application code interacts with a single, stable endpoint. The decision about which model serves each query is centralized in the router, where it can be changed, observed, and tuned without code deployments. The router becomes the single place where model identity, pricing, and quality bands are managed for the entire fleet.</w:t>
      </w:r>
    </w:p>
    <w:p>
      <w:pPr>
        <w:pStyle w:val="Heading2"/>
        <w:spacing w:after="140" w:before="280"/>
      </w:pPr>
      <w:r>
        <w:rPr>
          <w:rFonts w:ascii="Arial" w:cs="Arial" w:eastAsia="Arial" w:hAnsi="Arial"/>
          <w:b/>
          <w:bCs/>
          <w:color w:val="1F3864"/>
          <w:sz w:val="26"/>
          <w:szCs w:val="26"/>
        </w:rPr>
        <w:t xml:space="preserve">Three Cooperating Planes</w:t>
      </w:r>
    </w:p>
    <w:p>
      <w:pPr>
        <w:spacing w:after="80" w:before="80" w:line="320"/>
        <w:jc w:val="both"/>
      </w:pPr>
      <w:r>
        <w:rPr>
          <w:rFonts w:ascii="Arial" w:cs="Arial" w:eastAsia="Arial" w:hAnsi="Arial"/>
          <w:sz w:val="22"/>
          <w:szCs w:val="22"/>
        </w:rPr>
        <w:t xml:space="preserve">The deployment topology can be described as three planes, each with a distinct responsibility. This framing is intentionally similar to architectures used in retrieval-augmented generation — the same principle of separating decisions from inference applies.</w:t>
      </w:r>
    </w:p>
    <w:p>
      <w:pPr>
        <w:pStyle w:val="ListParagraph"/>
        <w:numPr>
          <w:ilvl w:val="0"/>
          <w:numId w:val="2"/>
        </w:numPr>
        <w:spacing w:after="40" w:before="40" w:line="300"/>
      </w:pPr>
      <w:r>
        <w:rPr>
          <w:rFonts w:ascii="Arial" w:cs="Arial" w:eastAsia="Arial" w:hAnsi="Arial"/>
          <w:b/>
          <w:bCs/>
          <w:sz w:val="22"/>
          <w:szCs w:val="22"/>
        </w:rPr>
        <w:t xml:space="preserve">Application plane. </w:t>
      </w:r>
      <w:r>
        <w:rPr>
          <w:rFonts w:ascii="Arial" w:cs="Arial" w:eastAsia="Arial" w:hAnsi="Arial"/>
          <w:sz w:val="22"/>
          <w:szCs w:val="22"/>
        </w:rPr>
        <w:t xml:space="preserve">Accepts user input, applies authentication and rate limits, and forwards the request to the router. The application plane is intentionally unaware of which downstream model will serve the request. Its endpoint is stable and version-pinned.</w:t>
      </w:r>
    </w:p>
    <w:p>
      <w:pPr>
        <w:pStyle w:val="ListParagraph"/>
        <w:numPr>
          <w:ilvl w:val="0"/>
          <w:numId w:val="2"/>
        </w:numPr>
        <w:spacing w:after="40" w:before="40" w:line="300"/>
      </w:pPr>
      <w:r>
        <w:rPr>
          <w:rFonts w:ascii="Arial" w:cs="Arial" w:eastAsia="Arial" w:hAnsi="Arial"/>
          <w:b/>
          <w:bCs/>
          <w:sz w:val="22"/>
          <w:szCs w:val="22"/>
        </w:rPr>
        <w:t xml:space="preserve">Router plane. </w:t>
      </w:r>
      <w:r>
        <w:rPr>
          <w:rFonts w:ascii="Arial" w:cs="Arial" w:eastAsia="Arial" w:hAnsi="Arial"/>
          <w:sz w:val="22"/>
          <w:szCs w:val="22"/>
        </w:rPr>
        <w:t xml:space="preserve">The vLLM Semantic Router runs here. It evaluates the request, selects a tier, forwards the request to the corresponding endpoint, and returns the response with routing metadata in headers. The router is stateless and horizontally scalable.</w:t>
      </w:r>
    </w:p>
    <w:p>
      <w:pPr>
        <w:pStyle w:val="ListParagraph"/>
        <w:numPr>
          <w:ilvl w:val="0"/>
          <w:numId w:val="2"/>
        </w:numPr>
        <w:spacing w:after="40" w:before="40" w:line="300"/>
      </w:pPr>
      <w:r>
        <w:rPr>
          <w:rFonts w:ascii="Arial" w:cs="Arial" w:eastAsia="Arial" w:hAnsi="Arial"/>
          <w:b/>
          <w:bCs/>
          <w:sz w:val="22"/>
          <w:szCs w:val="22"/>
        </w:rPr>
        <w:t xml:space="preserve">Inference plane. </w:t>
      </w:r>
      <w:r>
        <w:rPr>
          <w:rFonts w:ascii="Arial" w:cs="Arial" w:eastAsia="Arial" w:hAnsi="Arial"/>
          <w:sz w:val="22"/>
          <w:szCs w:val="22"/>
        </w:rPr>
        <w:t xml:space="preserve">Per-tier backends, one per price point. In the cloud-only configuration covered here, these are direct OpenAI-compatible HTTP endpoints into hosted LLM APIs. The inference plane is operated by the cloud provider; the router treats each tier as an opaque endpoint with a known cost.</w:t>
      </w:r>
    </w:p>
    <w:p>
      <w:pPr>
        <w:spacing w:after="80" w:before="80" w:line="320"/>
        <w:jc w:val="both"/>
      </w:pPr>
      <w:r>
        <w:rPr>
          <w:rFonts w:ascii="Arial" w:cs="Arial" w:eastAsia="Arial" w:hAnsi="Arial"/>
          <w:sz w:val="22"/>
          <w:szCs w:val="22"/>
        </w:rPr>
        <w:t xml:space="preserve">The router itself is a small Envoy-fronted service that exposes a single OpenAI-compatible endpoint. Application code makes its calls exactly as it would against any LLM provider — same request shape, same response shape, same streaming semantics. The model identifier is supplied at request time, but the router treats it as a hint and substitutes its own choice when the routing decision warrants. The chosen model is reported back in response headers so downstream observability can record the decision per request.</w:t>
      </w:r>
    </w:p>
    <w:p>
      <w:pPr>
        <w:pStyle w:val="Heading2"/>
        <w:spacing w:after="140" w:before="280"/>
      </w:pPr>
      <w:r>
        <w:rPr>
          <w:rFonts w:ascii="Arial" w:cs="Arial" w:eastAsia="Arial" w:hAnsi="Arial"/>
          <w:b/>
          <w:bCs/>
          <w:color w:val="1F3864"/>
          <w:sz w:val="26"/>
          <w:szCs w:val="26"/>
        </w:rPr>
        <w:t xml:space="preserve">Why the Router is Cheap to Run</w:t>
      </w:r>
    </w:p>
    <w:p>
      <w:pPr>
        <w:spacing w:after="80" w:before="80" w:line="320"/>
        <w:jc w:val="both"/>
      </w:pPr>
      <w:r>
        <w:rPr>
          <w:rFonts w:ascii="Arial" w:cs="Arial" w:eastAsia="Arial" w:hAnsi="Arial"/>
          <w:sz w:val="22"/>
          <w:szCs w:val="22"/>
        </w:rPr>
        <w:t xml:space="preserve">A common objection to introducing a routing tier is that it adds another network hop and another place for failures to occur. This concern is addressable on both fronts. The routing decision itself is bounded: it consists of a small number of embedding similarity computations against a fixed exemplar bank, a handful of regex-driven structural checks, and a weighted-sum projection. Total per-request latency from the router is small relative to typical LLM time-to-first-token, and is dominated by the network round trip to the chosen tier rather than by the routing computation.</w:t>
      </w:r>
    </w:p>
    <w:p>
      <w:pPr>
        <w:spacing w:after="80" w:before="80" w:line="320"/>
        <w:jc w:val="both"/>
      </w:pPr>
      <w:r>
        <w:rPr>
          <w:rFonts w:ascii="Arial" w:cs="Arial" w:eastAsia="Arial" w:hAnsi="Arial"/>
          <w:sz w:val="22"/>
          <w:szCs w:val="22"/>
        </w:rPr>
        <w:t xml:space="preserve">Operationally, the router is stateless. It can be replicated behind a load balancer, drained for maintenance, and updated by rolling deployments without coordination across replicas. The exemplar configuration is loaded at startup and can be reloaded by restart. There is no database, no shared cache, and no per-tenant state to migrate. Failure modes degrade to a sensible default — if the router cannot reach a tier, the request fails with a normal 5xx response, the same way any other reverse proxy behaves.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7F0F8" w:val="clear"/>
            <w:tcMar>
              <w:top w:type="dxa" w:w="160"/>
              <w:left w:type="dxa" w:w="220"/>
              <w:bottom w:type="dxa" w:w="160"/>
              <w:right w:type="dxa" w:w="200"/>
            </w:tcMar>
          </w:tcPr>
          <w:p>
            <w:pPr>
              <w:spacing w:after="80" w:before="0"/>
            </w:pPr>
            <w:r>
              <w:rPr>
                <w:rFonts w:ascii="Arial" w:cs="Arial" w:eastAsia="Arial" w:hAnsi="Arial"/>
                <w:b/>
                <w:bCs/>
                <w:color w:val="1F3864"/>
                <w:sz w:val="24"/>
                <w:szCs w:val="24"/>
              </w:rPr>
              <w:t xml:space="preserve">Routing is a decision, not a transformation</w:t>
            </w:r>
          </w:p>
          <w:p>
            <w:pPr>
              <w:spacing w:after="60" w:before="60" w:line="300"/>
              <w:jc w:val="both"/>
            </w:pPr>
            <w:r>
              <w:rPr>
                <w:rFonts w:ascii="Arial" w:cs="Arial" w:eastAsia="Arial" w:hAnsi="Arial"/>
                <w:sz w:val="22"/>
                <w:szCs w:val="22"/>
              </w:rPr>
              <w:t xml:space="preserve">It is tempting to extend a router to do prompt rewriting, response post-processing, content filtering, or output validation. Each of these is a defensible feature, but they belong in separate layers. Keeping the router narrow — one decision per request, no payload manipulation — preserves its operational predictability and makes its cost-savings effect attributable. Every other concern can sit upstream or downstream without changing the routing logic itself.</w:t>
            </w:r>
          </w:p>
        </w:tc>
      </w:tr>
    </w:tbl>
    <w:p>
      <w:r>
        <w:br w:type="page"/>
      </w:r>
    </w:p>
    <w:p>
      <w:pPr>
        <w:pStyle w:val="Heading1"/>
        <w:spacing w:after="180" w:before="360"/>
      </w:pPr>
      <w:r>
        <w:rPr>
          <w:rFonts w:ascii="Arial" w:cs="Arial" w:eastAsia="Arial" w:hAnsi="Arial"/>
          <w:b/>
          <w:bCs/>
          <w:color w:val="1F3864"/>
          <w:sz w:val="32"/>
          <w:szCs w:val="32"/>
        </w:rPr>
        <w:t xml:space="preserve">Section 3: The Cloud Tier Strategy</w:t>
      </w:r>
    </w:p>
    <w:p>
      <w:pPr>
        <w:spacing w:after="80" w:before="80" w:line="320"/>
        <w:jc w:val="both"/>
      </w:pPr>
      <w:r>
        <w:rPr>
          <w:rFonts w:ascii="Arial" w:cs="Arial" w:eastAsia="Arial" w:hAnsi="Arial"/>
          <w:sz w:val="22"/>
          <w:szCs w:val="22"/>
        </w:rPr>
        <w:t xml:space="preserve">Effective routing requires a tier ladder that maps to actual model capability and actual cloud pricing. The router cannot create cost savings that do not exist; it can only exploit the gap between the cheapest model that can answer a query and the most expensive one being used to answer it today. The first design step is therefore to lay out the ladder.</w:t>
      </w:r>
    </w:p>
    <w:p>
      <w:pPr>
        <w:spacing w:after="80" w:before="80" w:line="320"/>
        <w:jc w:val="both"/>
      </w:pPr>
      <w:r>
        <w:rPr>
          <w:rFonts w:ascii="Arial" w:cs="Arial" w:eastAsia="Arial" w:hAnsi="Arial"/>
          <w:sz w:val="22"/>
          <w:szCs w:val="22"/>
        </w:rPr>
        <w:t xml:space="preserve">The configuration evaluated in this paper uses three cloud tiers. Each tier is named by a neutral identifier (T3, T4, T5) so that the model behind each tier can be rotated without changing routing logic or application code. The neutral-identifier pattern is deliberate: vendor model names change frequently, prices change frequently, and capability characteristics drift. The ladder is the stable abstraction; the models behind the ladder are operator-tunable.</w:t>
      </w:r>
    </w:p>
    <w:p>
      <w:pPr>
        <w:spacing w:after="60" w:before="6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700"/>
        <w:gridCol w:w="236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Tier</w:t>
            </w:r>
          </w:p>
        </w:tc>
        <w:tc>
          <w:tcPr>
            <w:tcW w:type="dxa" w:w="3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Role</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Representative model</w:t>
            </w:r>
          </w:p>
        </w:tc>
        <w:tc>
          <w:tcPr>
            <w:tcW w:type="dxa" w:w="23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Typical price (per 1M tokens)</w:t>
            </w:r>
          </w:p>
        </w:tc>
      </w:tr>
      <w:tr>
        <w:trPr>
          <w:tblHeader w:val="false"/>
        </w:trP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T3</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Workhorse — most cloud queries land here. Standard explainers, common code, routine technical questions, day-to-day synthesis.</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Open-source frontier hosted via API (e.g., GPT-OSS 120B, Llama-class)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$0.60 input / $1.20 output</w:t>
            </w:r>
          </w:p>
        </w:tc>
      </w:tr>
      <w:tr>
        <w:trPr>
          <w:tblHeader w:val="false"/>
        </w:trPr>
        <w:tc>
          <w:tcPr>
            <w:tcW w:type="dxa" w:w="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T4</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High-capability — substantive engineering judgment, careful code review, longer creative work, complex business decisions.</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Claude Sonnet (or equivalent mid-frontier vendor model)</w:t>
            </w:r>
          </w:p>
        </w:tc>
        <w:tc>
          <w:tcPr>
            <w:tcW w:type="dxa" w:w="2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$3.00 input / $15.00 output</w:t>
            </w:r>
          </w:p>
        </w:tc>
      </w:tr>
      <w:tr>
        <w:trPr>
          <w:tblHeader w:val="false"/>
        </w:trP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T5</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Frontier — reserved for genuinely frontier prompts: long-form synthesis, multi-domain analysis, original argument construction.</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Claude Opus (or equivalent frontier vendor model)</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$15.00 input / $75.00 output</w:t>
            </w:r>
          </w:p>
        </w:tc>
      </w:tr>
    </w:tbl>
    <w:p>
      <w:pPr>
        <w:spacing w:after="80" w:before="80" w:line="320"/>
        <w:jc w:val="both"/>
      </w:pPr>
      <w:r>
        <w:rPr>
          <w:rFonts w:ascii="Arial" w:cs="Arial" w:eastAsia="Arial" w:hAnsi="Arial"/>
          <w:sz w:val="22"/>
          <w:szCs w:val="22"/>
        </w:rPr>
        <w:t xml:space="preserve">Two structural observations follow directly from this ladder. First, the price ratio between T3 and T5 is roughly 25x on input and 62x on output. Any query that the router can confidently send to T3 instead of T5 produces a cost reduction in that magnitude band. Second, the price ratio between T4 and T5 is roughly 5x. T4 catches queries that are too complex for T3 but where T5 would be over-spending. This second band is where most of the marginal cost-savings come from, because most production workloads have a long tail of moderate-complexity queries that a router can correctly identify and downshift.</w:t>
      </w:r>
    </w:p>
    <w:p>
      <w:pPr>
        <w:pStyle w:val="Heading2"/>
        <w:spacing w:after="140" w:before="280"/>
      </w:pPr>
      <w:r>
        <w:rPr>
          <w:rFonts w:ascii="Arial" w:cs="Arial" w:eastAsia="Arial" w:hAnsi="Arial"/>
          <w:b/>
          <w:bCs/>
          <w:color w:val="1F3864"/>
          <w:sz w:val="26"/>
          <w:szCs w:val="26"/>
        </w:rPr>
        <w:t xml:space="preserve">Why Three Tiers, Not Two</w:t>
      </w:r>
    </w:p>
    <w:p>
      <w:pPr>
        <w:spacing w:after="80" w:before="80" w:line="320"/>
        <w:jc w:val="both"/>
      </w:pPr>
      <w:r>
        <w:rPr>
          <w:rFonts w:ascii="Arial" w:cs="Arial" w:eastAsia="Arial" w:hAnsi="Arial"/>
          <w:sz w:val="22"/>
          <w:szCs w:val="22"/>
        </w:rPr>
        <w:t xml:space="preserve">A two-tier configuration — frontier and not-frontier — is tempting because it is simpler to operate. In practice, three cloud tiers consistently outperform two for two reasons. First, the price gradient between T3 and T4 is large enough that mis-routing a T3-suitable query to T4 still costs five times more than it should. Second, the capability gap between an open-source frontier model and a vendor mid-frontier model is large enough that some queries which T3 handles marginally are handled cleanly by T4. Three tiers gives the router a place to put the queries that are too hard for the cheapest tier but do not justify the frontier price.</w:t>
      </w:r>
    </w:p>
    <w:p>
      <w:pPr>
        <w:spacing w:after="80" w:before="80" w:line="320"/>
        <w:jc w:val="both"/>
      </w:pPr>
      <w:r>
        <w:rPr>
          <w:rFonts w:ascii="Arial" w:cs="Arial" w:eastAsia="Arial" w:hAnsi="Arial"/>
          <w:sz w:val="22"/>
          <w:szCs w:val="22"/>
        </w:rPr>
        <w:t xml:space="preserve">The same logic generalizes. An organization with very high traffic volume and a strong appetite for tuning can profitably operate four or five cloud tiers — for example, by adding a smaller open-source model below T3 and a separate reasoning-specialized model alongside T4. The architecture imposes no fixed cardinality. For most teams, three cloud tiers is the right place to start, because it captures the major cost gradients without requiring extensive workload profiling up front.</w:t>
      </w:r>
    </w:p>
    <w:p>
      <w:pPr>
        <w:pStyle w:val="Heading2"/>
        <w:spacing w:after="140" w:before="280"/>
      </w:pPr>
      <w:r>
        <w:rPr>
          <w:rFonts w:ascii="Arial" w:cs="Arial" w:eastAsia="Arial" w:hAnsi="Arial"/>
          <w:b/>
          <w:bCs/>
          <w:color w:val="1F3864"/>
          <w:sz w:val="26"/>
          <w:szCs w:val="26"/>
        </w:rPr>
        <w:t xml:space="preserve">On-Premises Tiers Are Out of Scope Here</w:t>
      </w:r>
    </w:p>
    <w:p>
      <w:pPr>
        <w:spacing w:after="80" w:before="80" w:line="320"/>
        <w:jc w:val="both"/>
      </w:pPr>
      <w:r>
        <w:rPr>
          <w:rFonts w:ascii="Arial" w:cs="Arial" w:eastAsia="Arial" w:hAnsi="Arial"/>
          <w:sz w:val="22"/>
          <w:szCs w:val="22"/>
        </w:rPr>
        <w:t xml:space="preserve">The same router can place an additional one or two tiers below T3 on local CPU hardware — a small open model for trivial lookups, and a mid-sized MoE for workhorse traffic. That hybrid configuration is real and well-supported by vllm-sr, and it is the right answer for organizations that need data sovereignty, predictable infrastructure cost regardless of traffic, or strict isolation from public cloud providers. It is out of scope in this paper because it requires hardware procurement and lifecycle decisions that an application team cannot make in isolation.</w:t>
      </w:r>
    </w:p>
    <w:p>
      <w:pPr>
        <w:spacing w:after="80" w:before="80" w:line="320"/>
        <w:jc w:val="both"/>
      </w:pPr>
      <w:r>
        <w:rPr>
          <w:rFonts w:ascii="Arial" w:cs="Arial" w:eastAsia="Arial" w:hAnsi="Arial"/>
          <w:sz w:val="22"/>
          <w:szCs w:val="22"/>
        </w:rPr>
        <w:t xml:space="preserve">For cloud-only deployments, the practical interpretation of the benchmark numbers below is that any query the router would have placed on T1 or T2 in a hybrid configuration is instead placed on T3 — the smallest cloud tier. This makes T3 the workhorse of the cloud-only configuration and shifts the workload distribution accordingly.</w:t>
      </w:r>
    </w:p>
    <w:p>
      <w:r>
        <w:br w:type="page"/>
      </w:r>
    </w:p>
    <w:p>
      <w:pPr>
        <w:pStyle w:val="Heading1"/>
        <w:spacing w:after="180" w:before="360"/>
      </w:pPr>
      <w:r>
        <w:rPr>
          <w:rFonts w:ascii="Arial" w:cs="Arial" w:eastAsia="Arial" w:hAnsi="Arial"/>
          <w:b/>
          <w:bCs/>
          <w:color w:val="1F3864"/>
          <w:sz w:val="32"/>
          <w:szCs w:val="32"/>
        </w:rPr>
        <w:t xml:space="preserve">Section 4: How the Router Makes Decisions</w:t>
      </w:r>
    </w:p>
    <w:p>
      <w:pPr>
        <w:spacing w:after="80" w:before="80" w:line="320"/>
        <w:jc w:val="both"/>
      </w:pPr>
      <w:r>
        <w:rPr>
          <w:rFonts w:ascii="Arial" w:cs="Arial" w:eastAsia="Arial" w:hAnsi="Arial"/>
          <w:sz w:val="22"/>
          <w:szCs w:val="22"/>
        </w:rPr>
        <w:t xml:space="preserve">The vLLM Semantic Router does not make routing decisions by classification. There is no fine-tuned classifier that consumes a prompt and emits a tier label. Instead, the router combines several independent, observable signals — each measuring a different aspect of query difficulty — into a continuous score, then partitions that score into tier bands. This composition pattern is deliberate. It is auditable, tunable, and resilient to drift in any single signal.</w:t>
      </w:r>
    </w:p>
    <w:p>
      <w:pPr>
        <w:pStyle w:val="Heading2"/>
        <w:spacing w:after="140" w:before="280"/>
      </w:pPr>
      <w:r>
        <w:rPr>
          <w:rFonts w:ascii="Arial" w:cs="Arial" w:eastAsia="Arial" w:hAnsi="Arial"/>
          <w:b/>
          <w:bCs/>
          <w:color w:val="1F3864"/>
          <w:sz w:val="26"/>
          <w:szCs w:val="26"/>
        </w:rPr>
        <w:t xml:space="preserve">The Signal Mix</w:t>
      </w:r>
    </w:p>
    <w:p>
      <w:pPr>
        <w:spacing w:after="80" w:before="80" w:line="320"/>
        <w:jc w:val="both"/>
      </w:pPr>
      <w:r>
        <w:rPr>
          <w:rFonts w:ascii="Arial" w:cs="Arial" w:eastAsia="Arial" w:hAnsi="Arial"/>
          <w:sz w:val="22"/>
          <w:szCs w:val="22"/>
        </w:rPr>
        <w:t xml:space="preserve">Five signal types contribute to the difficulty score:</w:t>
      </w:r>
    </w:p>
    <w:p>
      <w:pPr>
        <w:pStyle w:val="ListParagraph"/>
        <w:numPr>
          <w:ilvl w:val="0"/>
          <w:numId w:val="2"/>
        </w:numPr>
        <w:spacing w:after="40" w:before="40" w:line="300"/>
      </w:pPr>
      <w:r>
        <w:rPr>
          <w:rFonts w:ascii="Arial" w:cs="Arial" w:eastAsia="Arial" w:hAnsi="Arial"/>
          <w:b/>
          <w:bCs/>
          <w:sz w:val="22"/>
          <w:szCs w:val="22"/>
        </w:rPr>
        <w:t xml:space="preserve">Complexity signal (one contrastive embedding signal). </w:t>
      </w:r>
      <w:r>
        <w:rPr>
          <w:rFonts w:ascii="Arial" w:cs="Arial" w:eastAsia="Arial" w:hAnsi="Arial"/>
          <w:sz w:val="22"/>
          <w:szCs w:val="22"/>
        </w:rPr>
        <w:t xml:space="preserve">Compares the incoming prompt against two banks of exemplars: a hard bank covering multi-step reasoning, deep expertise, judgment, and commitment; and an easy bank covering trivial factual lookups, simple definitions, and routine conversions. Emits a single confidence score in the range [0, 1].</w:t>
      </w:r>
    </w:p>
    <w:p>
      <w:pPr>
        <w:pStyle w:val="ListParagraph"/>
        <w:numPr>
          <w:ilvl w:val="0"/>
          <w:numId w:val="2"/>
        </w:numPr>
        <w:spacing w:after="40" w:before="40" w:line="300"/>
      </w:pPr>
      <w:r>
        <w:rPr>
          <w:rFonts w:ascii="Arial" w:cs="Arial" w:eastAsia="Arial" w:hAnsi="Arial"/>
          <w:b/>
          <w:bCs/>
          <w:sz w:val="22"/>
          <w:szCs w:val="22"/>
        </w:rPr>
        <w:t xml:space="preserve">Embedding signals (continuous semantic similarity). </w:t>
      </w:r>
      <w:r>
        <w:rPr>
          <w:rFonts w:ascii="Arial" w:cs="Arial" w:eastAsia="Arial" w:hAnsi="Arial"/>
          <w:sz w:val="22"/>
          <w:szCs w:val="22"/>
        </w:rPr>
        <w:t xml:space="preserve">Multiple single-bank embeddings each scored against the prompt. The configuration evaluated here uses four: a trivial-lookup detractor (negative weight — pulls scores down for short factual asks), a moderate-complexity promoter (positive weight — catches explainers and routine code), an argumentative-construction promoter (positive weight — catches judgment and recommendation prompts), and a frontier-synthesis promoter (high positive weight — catches genuinely frontier-grade prompts).</w:t>
      </w:r>
    </w:p>
    <w:p>
      <w:pPr>
        <w:pStyle w:val="ListParagraph"/>
        <w:numPr>
          <w:ilvl w:val="0"/>
          <w:numId w:val="2"/>
        </w:numPr>
        <w:spacing w:after="40" w:before="40" w:line="300"/>
      </w:pPr>
      <w:r>
        <w:rPr>
          <w:rFonts w:ascii="Arial" w:cs="Arial" w:eastAsia="Arial" w:hAnsi="Arial"/>
          <w:b/>
          <w:bCs/>
          <w:sz w:val="22"/>
          <w:szCs w:val="22"/>
        </w:rPr>
        <w:t xml:space="preserve">Structure signals (mechanical, regex-driven). </w:t>
      </w:r>
      <w:r>
        <w:rPr>
          <w:rFonts w:ascii="Arial" w:cs="Arial" w:eastAsia="Arial" w:hAnsi="Arial"/>
          <w:sz w:val="22"/>
          <w:szCs w:val="22"/>
        </w:rPr>
        <w:t xml:space="preserve">Deterministic gates based on prompt shape: word count, presence of fenced code blocks, count of question marks, numbered constraints, and so on. These are binary — they fire or they do not — and they capture features that semantic embeddings can miss.</w:t>
      </w:r>
    </w:p>
    <w:p>
      <w:pPr>
        <w:pStyle w:val="ListParagraph"/>
        <w:numPr>
          <w:ilvl w:val="0"/>
          <w:numId w:val="2"/>
        </w:numPr>
        <w:spacing w:after="40" w:before="40" w:line="300"/>
      </w:pPr>
      <w:r>
        <w:rPr>
          <w:rFonts w:ascii="Arial" w:cs="Arial" w:eastAsia="Arial" w:hAnsi="Arial"/>
          <w:b/>
          <w:bCs/>
          <w:sz w:val="22"/>
          <w:szCs w:val="22"/>
        </w:rPr>
        <w:t xml:space="preserve">Context signals (request-level). </w:t>
      </w:r>
      <w:r>
        <w:rPr>
          <w:rFonts w:ascii="Arial" w:cs="Arial" w:eastAsia="Arial" w:hAnsi="Arial"/>
          <w:sz w:val="22"/>
          <w:szCs w:val="22"/>
        </w:rPr>
        <w:t xml:space="preserve">Facts the router knows about the request itself, such as input token count. Long-context requests need larger or more-capable models regardless of semantic difficulty.</w:t>
      </w:r>
    </w:p>
    <w:p>
      <w:pPr>
        <w:pStyle w:val="ListParagraph"/>
        <w:numPr>
          <w:ilvl w:val="0"/>
          <w:numId w:val="2"/>
        </w:numPr>
        <w:spacing w:after="40" w:before="40" w:line="300"/>
      </w:pPr>
      <w:r>
        <w:rPr>
          <w:rFonts w:ascii="Arial" w:cs="Arial" w:eastAsia="Arial" w:hAnsi="Arial"/>
          <w:b/>
          <w:bCs/>
          <w:sz w:val="22"/>
          <w:szCs w:val="22"/>
        </w:rPr>
        <w:t xml:space="preserve">Specialization signals (optional). </w:t>
      </w:r>
      <w:r>
        <w:rPr>
          <w:rFonts w:ascii="Arial" w:cs="Arial" w:eastAsia="Arial" w:hAnsi="Arial"/>
          <w:sz w:val="22"/>
          <w:szCs w:val="22"/>
        </w:rPr>
        <w:t xml:space="preserve">Domain or task labels (coding, math, creative writing) that can promote specific tiers when matched.</w:t>
      </w:r>
    </w:p>
    <w:p>
      <w:pPr>
        <w:spacing w:after="80" w:before="80" w:line="320"/>
        <w:jc w:val="both"/>
      </w:pPr>
      <w:r>
        <w:rPr>
          <w:rFonts w:ascii="Arial" w:cs="Arial" w:eastAsia="Arial" w:hAnsi="Arial"/>
          <w:sz w:val="22"/>
          <w:szCs w:val="22"/>
        </w:rPr>
        <w:t xml:space="preserve">Each signal contributes a number — its confidence multiplied by a per-signal weight — to a single projection called request_difficulty. The projection is a straight weighted sum. A trivial-lookup match contributes a small negative number; a moderate-complexity match contributes a moderate positive number; a frontier-synthesis match contributes a large positive number. Multiple signals can fire on the same prompt and their contributions add.</w:t>
      </w:r>
    </w:p>
    <w:p>
      <w:pPr>
        <w:pStyle w:val="Heading2"/>
        <w:spacing w:after="140" w:before="280"/>
      </w:pPr>
      <w:r>
        <w:rPr>
          <w:rFonts w:ascii="Arial" w:cs="Arial" w:eastAsia="Arial" w:hAnsi="Arial"/>
          <w:b/>
          <w:bCs/>
          <w:color w:val="1F3864"/>
          <w:sz w:val="26"/>
          <w:szCs w:val="26"/>
        </w:rPr>
        <w:t xml:space="preserve">From Score to Tier</w:t>
      </w:r>
    </w:p>
    <w:p>
      <w:pPr>
        <w:spacing w:after="80" w:before="80" w:line="320"/>
        <w:jc w:val="both"/>
      </w:pPr>
      <w:r>
        <w:rPr>
          <w:rFonts w:ascii="Arial" w:cs="Arial" w:eastAsia="Arial" w:hAnsi="Arial"/>
          <w:sz w:val="22"/>
          <w:szCs w:val="22"/>
        </w:rPr>
        <w:t xml:space="preserve">Once the request_difficulty score is computed, it is partitioned into mutually-exclusive bands by four threshold cutoffs. Each band maps to a single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20" w:before="20"/>
              <w:jc w:val="left"/>
            </w:pPr>
            <w:r>
              <w:rPr>
                <w:rFonts w:ascii="Consolas" w:cs="Consolas" w:eastAsia="Consolas" w:hAnsi="Consolas"/>
                <w:sz w:val="20"/>
                <w:szCs w:val="20"/>
              </w:rPr>
              <w:t xml:space="preserve"># config/router-exemplars.yaml — excerpt</w:t>
            </w:r>
          </w:p>
          <w:p>
            <w:pPr>
              <w:spacing w:after="20" w:before="20"/>
              <w:jc w:val="left"/>
            </w:pPr>
            <w:r>
              <w:rPr>
                <w:rFonts w:ascii="Consolas" w:cs="Consolas" w:eastAsia="Consolas" w:hAnsi="Consolas"/>
                <w:sz w:val="20"/>
                <w:szCs w:val="20"/>
              </w:rPr>
              <w:t xml:space="preserve"> </w:t>
            </w:r>
          </w:p>
          <w:p>
            <w:pPr>
              <w:spacing w:after="20" w:before="20"/>
              <w:jc w:val="left"/>
            </w:pPr>
            <w:r>
              <w:rPr>
                <w:rFonts w:ascii="Consolas" w:cs="Consolas" w:eastAsia="Consolas" w:hAnsi="Consolas"/>
                <w:sz w:val="20"/>
                <w:szCs w:val="20"/>
              </w:rPr>
              <w:t xml:space="preserve"># Four cutoffs produce five bands. Calibrate against your traffic.</w:t>
            </w:r>
          </w:p>
          <w:p>
            <w:pPr>
              <w:spacing w:after="20" w:before="20"/>
              <w:jc w:val="left"/>
            </w:pPr>
            <w:r>
              <w:rPr>
                <w:rFonts w:ascii="Consolas" w:cs="Consolas" w:eastAsia="Consolas" w:hAnsi="Consolas"/>
                <w:sz w:val="20"/>
                <w:szCs w:val="20"/>
              </w:rPr>
              <w:t xml:space="preserve">tier_cutoffs: [0.03, 0.10, 0.18, 0.40]</w:t>
            </w:r>
          </w:p>
          <w:p>
            <w:pPr>
              <w:spacing w:after="20" w:before="20"/>
              <w:jc w:val="left"/>
            </w:pPr>
            <w:r>
              <w:rPr>
                <w:rFonts w:ascii="Consolas" w:cs="Consolas" w:eastAsia="Consolas" w:hAnsi="Consolas"/>
                <w:sz w:val="20"/>
                <w:szCs w:val="20"/>
              </w:rPr>
              <w:t xml:space="preserve"> </w:t>
            </w:r>
          </w:p>
          <w:p>
            <w:pPr>
              <w:spacing w:after="20" w:before="20"/>
              <w:jc w:val="left"/>
            </w:pPr>
            <w:r>
              <w:rPr>
                <w:rFonts w:ascii="Consolas" w:cs="Consolas" w:eastAsia="Consolas" w:hAnsi="Consolas"/>
                <w:sz w:val="20"/>
                <w:szCs w:val="20"/>
              </w:rPr>
              <w:t xml:space="preserve"># Bands resolve as follows for the five-tier ladder:</w:t>
            </w:r>
          </w:p>
          <w:p>
            <w:pPr>
              <w:spacing w:after="20" w:before="20"/>
              <w:jc w:val="left"/>
            </w:pPr>
            <w:r>
              <w:rPr>
                <w:rFonts w:ascii="Consolas" w:cs="Consolas" w:eastAsia="Consolas" w:hAnsi="Consolas"/>
                <w:sz w:val="20"/>
                <w:szCs w:val="20"/>
              </w:rPr>
              <w:t xml:space="preserve">#   score &lt; 0.03                 → tier1   (very short factual, trivial)</w:t>
            </w:r>
          </w:p>
          <w:p>
            <w:pPr>
              <w:spacing w:after="20" w:before="20"/>
              <w:jc w:val="left"/>
            </w:pPr>
            <w:r>
              <w:rPr>
                <w:rFonts w:ascii="Consolas" w:cs="Consolas" w:eastAsia="Consolas" w:hAnsi="Consolas"/>
                <w:sz w:val="20"/>
                <w:szCs w:val="20"/>
              </w:rPr>
              <w:t xml:space="preserve">#   0.03 &lt;= score &lt; 0.10         → tier2   (workhorse cloud / mid-CPU)</w:t>
            </w:r>
          </w:p>
          <w:p>
            <w:pPr>
              <w:spacing w:after="20" w:before="20"/>
              <w:jc w:val="left"/>
            </w:pPr>
            <w:r>
              <w:rPr>
                <w:rFonts w:ascii="Consolas" w:cs="Consolas" w:eastAsia="Consolas" w:hAnsi="Consolas"/>
                <w:sz w:val="20"/>
                <w:szCs w:val="20"/>
              </w:rPr>
              <w:t xml:space="preserve">#   0.10 &lt;= score &lt; 0.18         → tier3   (workhorse cloud)</w:t>
            </w:r>
          </w:p>
          <w:p>
            <w:pPr>
              <w:spacing w:after="20" w:before="20"/>
              <w:jc w:val="left"/>
            </w:pPr>
            <w:r>
              <w:rPr>
                <w:rFonts w:ascii="Consolas" w:cs="Consolas" w:eastAsia="Consolas" w:hAnsi="Consolas"/>
                <w:sz w:val="20"/>
                <w:szCs w:val="20"/>
              </w:rPr>
              <w:t xml:space="preserve">#   0.18 &lt;= score &lt; 0.40         → tier4   (high-capability)</w:t>
            </w:r>
          </w:p>
          <w:p>
            <w:pPr>
              <w:spacing w:after="20" w:before="20"/>
              <w:jc w:val="left"/>
            </w:pPr>
            <w:r>
              <w:rPr>
                <w:rFonts w:ascii="Consolas" w:cs="Consolas" w:eastAsia="Consolas" w:hAnsi="Consolas"/>
                <w:sz w:val="20"/>
                <w:szCs w:val="20"/>
              </w:rPr>
              <w:t xml:space="preserve">#   score &gt;= 0.40                → tier5   (frontier)</w:t>
            </w:r>
          </w:p>
          <w:p>
            <w:pPr>
              <w:spacing w:after="20" w:before="20"/>
              <w:jc w:val="left"/>
            </w:pPr>
            <w:r>
              <w:rPr>
                <w:rFonts w:ascii="Consolas" w:cs="Consolas" w:eastAsia="Consolas" w:hAnsi="Consolas"/>
                <w:sz w:val="20"/>
                <w:szCs w:val="20"/>
              </w:rPr>
              <w:t xml:space="preserve"> </w:t>
            </w:r>
          </w:p>
          <w:p>
            <w:pPr>
              <w:spacing w:after="20" w:before="20"/>
              <w:jc w:val="left"/>
            </w:pPr>
            <w:r>
              <w:rPr>
                <w:rFonts w:ascii="Consolas" w:cs="Consolas" w:eastAsia="Consolas" w:hAnsi="Consolas"/>
                <w:sz w:val="20"/>
                <w:szCs w:val="20"/>
              </w:rPr>
              <w:t xml:space="preserve"># In a cloud-only deployment, the bottom two bands collapse onto T3.</w:t>
            </w:r>
          </w:p>
        </w:tc>
      </w:tr>
    </w:tbl>
    <w:p>
      <w:pPr>
        <w:spacing w:after="80" w:before="80" w:line="320"/>
        <w:jc w:val="both"/>
      </w:pPr>
      <w:r>
        <w:rPr>
          <w:rFonts w:ascii="Arial" w:cs="Arial" w:eastAsia="Arial" w:hAnsi="Arial"/>
          <w:sz w:val="22"/>
          <w:szCs w:val="22"/>
        </w:rPr>
        <w:t xml:space="preserve">The composition pattern has three important properties. It is auditable: every routing decision can be explained as a sum of named contributions, and the router exposes the per-signal scores in response headers for offline analysis. It is tunable: changing tier behavior is a configuration edit, not a code change. It is resilient to drift: if any single signal becomes noisy, its weight can be reduced or zeroed without affecting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7F0F8" w:val="clear"/>
            <w:tcMar>
              <w:top w:type="dxa" w:w="160"/>
              <w:left w:type="dxa" w:w="220"/>
              <w:bottom w:type="dxa" w:w="160"/>
              <w:right w:type="dxa" w:w="200"/>
            </w:tcMar>
          </w:tcPr>
          <w:p>
            <w:pPr>
              <w:spacing w:after="80" w:before="0"/>
            </w:pPr>
            <w:r>
              <w:rPr>
                <w:rFonts w:ascii="Arial" w:cs="Arial" w:eastAsia="Arial" w:hAnsi="Arial"/>
                <w:b/>
                <w:bCs/>
                <w:color w:val="1F3864"/>
                <w:sz w:val="24"/>
                <w:szCs w:val="24"/>
              </w:rPr>
              <w:t xml:space="preserve">The single-classifier alternative — and why we avoided it</w:t>
            </w:r>
          </w:p>
          <w:p>
            <w:pPr>
              <w:spacing w:after="60" w:before="60" w:line="300"/>
              <w:jc w:val="both"/>
            </w:pPr>
            <w:r>
              <w:rPr>
                <w:rFonts w:ascii="Arial" w:cs="Arial" w:eastAsia="Arial" w:hAnsi="Arial"/>
                <w:sz w:val="22"/>
                <w:szCs w:val="22"/>
              </w:rPr>
              <w:t xml:space="preserve">A natural alternative is to train a single classifier that consumes the prompt and emits a tier label directly. This works, but it concentrates all routing intelligence into one opaque model that must be retrained whenever the workload, the tier ladder, or the cost gradient changes. The signal-mix pattern decomposes the same decision into named, individually-meaningful components, each tunable in isolation. Operators can read the routing configuration and understand what the router will do, which makes the system far easier to trust in production.</w:t>
            </w:r>
          </w:p>
        </w:tc>
      </w:tr>
    </w:tbl>
    <w:p>
      <w:pPr>
        <w:pStyle w:val="Heading2"/>
        <w:spacing w:after="140" w:before="280"/>
      </w:pPr>
      <w:r>
        <w:rPr>
          <w:rFonts w:ascii="Arial" w:cs="Arial" w:eastAsia="Arial" w:hAnsi="Arial"/>
          <w:b/>
          <w:bCs/>
          <w:color w:val="1F3864"/>
          <w:sz w:val="26"/>
          <w:szCs w:val="26"/>
        </w:rPr>
        <w:t xml:space="preserve">Decision Latency</w:t>
      </w:r>
    </w:p>
    <w:p>
      <w:pPr>
        <w:spacing w:after="80" w:before="80" w:line="320"/>
        <w:jc w:val="both"/>
      </w:pPr>
      <w:r>
        <w:rPr>
          <w:rFonts w:ascii="Arial" w:cs="Arial" w:eastAsia="Arial" w:hAnsi="Arial"/>
          <w:sz w:val="22"/>
          <w:szCs w:val="22"/>
        </w:rPr>
        <w:t xml:space="preserve">The router's per-request overhead is dominated by the embedding inference for the contrastive complexity signal and the embedding-similarity computations against the candidate banks. In practice, these are small models (sentence-encoder-class) that produce a routing decision in tens of milliseconds on a modest CPU. Structure signals are essentially free (regex matches). The total added latency is negligible against typical cloud LLM time-to-first-token, which is on the order of hundreds of milliseconds even for the smallest models.</w:t>
      </w:r>
    </w:p>
    <w:p>
      <w:r>
        <w:br w:type="page"/>
      </w:r>
    </w:p>
    <w:p>
      <w:pPr>
        <w:pStyle w:val="Heading1"/>
        <w:spacing w:after="180" w:before="360"/>
      </w:pPr>
      <w:r>
        <w:rPr>
          <w:rFonts w:ascii="Arial" w:cs="Arial" w:eastAsia="Arial" w:hAnsi="Arial"/>
          <w:b/>
          <w:bCs/>
          <w:color w:val="1F3864"/>
          <w:sz w:val="32"/>
          <w:szCs w:val="32"/>
        </w:rPr>
        <w:t xml:space="preserve">Section 5: Training the Router with Contrastive Exemplars</w:t>
      </w:r>
    </w:p>
    <w:p>
      <w:pPr>
        <w:spacing w:after="80" w:before="80" w:line="320"/>
        <w:jc w:val="both"/>
      </w:pPr>
      <w:r>
        <w:rPr>
          <w:rFonts w:ascii="Arial" w:cs="Arial" w:eastAsia="Arial" w:hAnsi="Arial"/>
          <w:sz w:val="22"/>
          <w:szCs w:val="22"/>
        </w:rPr>
        <w:t xml:space="preserve">The router has no traditional training step. It is configured rather than trained, in the same way that a search index is configured: an operator supplies the exemplars, the cutoffs, and the weights, and the router uses them at inference time. The work of producing a good router is the work of producing good exemplars and calibrated thresholds. This section walks through that process.</w:t>
      </w:r>
    </w:p>
    <w:p>
      <w:pPr>
        <w:pStyle w:val="Heading2"/>
        <w:spacing w:after="140" w:before="280"/>
      </w:pPr>
      <w:r>
        <w:rPr>
          <w:rFonts w:ascii="Arial" w:cs="Arial" w:eastAsia="Arial" w:hAnsi="Arial"/>
          <w:b/>
          <w:bCs/>
          <w:color w:val="1F3864"/>
          <w:sz w:val="26"/>
          <w:szCs w:val="26"/>
        </w:rPr>
        <w:t xml:space="preserve">Exemplar Design Principles</w:t>
      </w:r>
    </w:p>
    <w:p>
      <w:pPr>
        <w:spacing w:after="80" w:before="80" w:line="320"/>
        <w:jc w:val="both"/>
      </w:pPr>
      <w:r>
        <w:rPr>
          <w:rFonts w:ascii="Arial" w:cs="Arial" w:eastAsia="Arial" w:hAnsi="Arial"/>
          <w:sz w:val="22"/>
          <w:szCs w:val="22"/>
        </w:rPr>
        <w:t xml:space="preserve">The router's contrastive signals work by comparing the incoming prompt to two banks of exemplars and emitting a confidence in the range [0, 1] proportional to how strongly the prompt resembles one bank over the other. Continuous embedding signals work similarly but use a single bank and a threshold. Three principles produce robust banks.</w:t>
      </w:r>
    </w:p>
    <w:p>
      <w:pPr>
        <w:pStyle w:val="ListParagraph"/>
        <w:numPr>
          <w:ilvl w:val="0"/>
          <w:numId w:val="2"/>
        </w:numPr>
        <w:spacing w:after="40" w:before="40" w:line="300"/>
      </w:pPr>
      <w:r>
        <w:rPr>
          <w:rFonts w:ascii="Arial" w:cs="Arial" w:eastAsia="Arial" w:hAnsi="Arial"/>
          <w:b/>
          <w:bCs/>
          <w:sz w:val="22"/>
          <w:szCs w:val="22"/>
        </w:rPr>
        <w:t xml:space="preserve">Cover archetypes, not specific queries. </w:t>
      </w:r>
      <w:r>
        <w:rPr>
          <w:rFonts w:ascii="Arial" w:cs="Arial" w:eastAsia="Arial" w:hAnsi="Arial"/>
          <w:sz w:val="22"/>
          <w:szCs w:val="22"/>
        </w:rPr>
        <w:t xml:space="preserve">Each exemplar should be a representative shape of a difficulty class, not a paraphrase of a real production prompt. The goal is to capture the pattern of "multi-step reasoning under uncertainty" or "trivial factual lookup," not to memorize specific instances. A bank of twelve exemplars covering twelve distinct archetypes will generalize better than a bank of fifty paraphrases of one archetype.</w:t>
      </w:r>
    </w:p>
    <w:p>
      <w:pPr>
        <w:pStyle w:val="ListParagraph"/>
        <w:numPr>
          <w:ilvl w:val="0"/>
          <w:numId w:val="2"/>
        </w:numPr>
        <w:spacing w:after="40" w:before="40" w:line="300"/>
      </w:pPr>
      <w:r>
        <w:rPr>
          <w:rFonts w:ascii="Arial" w:cs="Arial" w:eastAsia="Arial" w:hAnsi="Arial"/>
          <w:b/>
          <w:bCs/>
          <w:sz w:val="22"/>
          <w:szCs w:val="22"/>
        </w:rPr>
        <w:t xml:space="preserve">Keep exemplars and evaluation set disjoint. </w:t>
      </w:r>
      <w:r>
        <w:rPr>
          <w:rFonts w:ascii="Arial" w:cs="Arial" w:eastAsia="Arial" w:hAnsi="Arial"/>
          <w:sz w:val="22"/>
          <w:szCs w:val="22"/>
        </w:rPr>
        <w:t xml:space="preserve">If a paraphrase of an evaluation query appears in the exemplar bank, the router will match it artificially well and the benchmark will overstate accuracy. The configuration evaluated here includes an explicit overlap check at build time: the loader walks the exemplar banks and the evaluation queries and asserts no shared content. This check should be part of any production deployment.</w:t>
      </w:r>
    </w:p>
    <w:p>
      <w:pPr>
        <w:pStyle w:val="ListParagraph"/>
        <w:numPr>
          <w:ilvl w:val="0"/>
          <w:numId w:val="2"/>
        </w:numPr>
        <w:spacing w:after="40" w:before="40" w:line="300"/>
      </w:pPr>
      <w:r>
        <w:rPr>
          <w:rFonts w:ascii="Arial" w:cs="Arial" w:eastAsia="Arial" w:hAnsi="Arial"/>
          <w:b/>
          <w:bCs/>
          <w:sz w:val="22"/>
          <w:szCs w:val="22"/>
        </w:rPr>
        <w:t xml:space="preserve">Calibrate signal weight against bank size. </w:t>
      </w:r>
      <w:r>
        <w:rPr>
          <w:rFonts w:ascii="Arial" w:cs="Arial" w:eastAsia="Arial" w:hAnsi="Arial"/>
          <w:sz w:val="22"/>
          <w:szCs w:val="22"/>
        </w:rPr>
        <w:t xml:space="preserve">A bank with a wider range of archetypes will produce more diffuse confidence scores than a bank with a tight cluster. The per-signal weight is the natural place to absorb this difference. Start with the weights given here as a baseline and adjust after measuring the score distribution on real traffic.</w:t>
      </w:r>
    </w:p>
    <w:p>
      <w:pPr>
        <w:pStyle w:val="Heading2"/>
        <w:spacing w:after="140" w:before="280"/>
      </w:pPr>
      <w:r>
        <w:rPr>
          <w:rFonts w:ascii="Arial" w:cs="Arial" w:eastAsia="Arial" w:hAnsi="Arial"/>
          <w:b/>
          <w:bCs/>
          <w:color w:val="1F3864"/>
          <w:sz w:val="26"/>
          <w:szCs w:val="26"/>
        </w:rPr>
        <w:t xml:space="preserve">Anatomy of the Hard / Easy Complexity Signal</w:t>
      </w:r>
    </w:p>
    <w:p>
      <w:pPr>
        <w:spacing w:after="80" w:before="80" w:line="320"/>
        <w:jc w:val="both"/>
      </w:pPr>
      <w:r>
        <w:rPr>
          <w:rFonts w:ascii="Arial" w:cs="Arial" w:eastAsia="Arial" w:hAnsi="Arial"/>
          <w:sz w:val="22"/>
          <w:szCs w:val="22"/>
        </w:rPr>
        <w:t xml:space="preserve">The complexity signal is the most central — every prompt is scored against it. Its hard bank contains diverse archetypes drawn from four difficulty categories: multi-step reasoning, deep domain expertise, open-ended judgment, and commitment / position-taking. The easy bank contains diverse trivial archetypes drawn from factual lookups, trivial calculations, simple definitions, and short translations. The hard bank carries a positive weight; the easy bank, via the same signal, pulls the score down when it matches strongly.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20" w:before="20"/>
              <w:jc w:val="left"/>
            </w:pPr>
            <w:r>
              <w:rPr>
                <w:rFonts w:ascii="Consolas" w:cs="Consolas" w:eastAsia="Consolas" w:hAnsi="Consolas"/>
                <w:sz w:val="20"/>
                <w:szCs w:val="20"/>
              </w:rPr>
              <w:t xml:space="preserve"># config/router-exemplars.yaml — complexity_signals (excerpt)</w:t>
            </w:r>
          </w:p>
          <w:p>
            <w:pPr>
              <w:spacing w:after="20" w:before="20"/>
              <w:jc w:val="left"/>
            </w:pPr>
            <w:r>
              <w:rPr>
                <w:rFonts w:ascii="Consolas" w:cs="Consolas" w:eastAsia="Consolas" w:hAnsi="Consolas"/>
                <w:sz w:val="20"/>
                <w:szCs w:val="20"/>
              </w:rPr>
              <w:t xml:space="preserve"> </w:t>
            </w:r>
          </w:p>
          <w:p>
            <w:pPr>
              <w:spacing w:after="20" w:before="20"/>
              <w:jc w:val="left"/>
            </w:pPr>
            <w:r>
              <w:rPr>
                <w:rFonts w:ascii="Consolas" w:cs="Consolas" w:eastAsia="Consolas" w:hAnsi="Consolas"/>
                <w:sz w:val="20"/>
                <w:szCs w:val="20"/>
              </w:rPr>
              <w:t xml:space="preserve">complexity_signals:</w:t>
            </w:r>
          </w:p>
          <w:p>
            <w:pPr>
              <w:spacing w:after="20" w:before="20"/>
              <w:jc w:val="left"/>
            </w:pPr>
            <w:r>
              <w:rPr>
                <w:rFonts w:ascii="Consolas" w:cs="Consolas" w:eastAsia="Consolas" w:hAnsi="Consolas"/>
                <w:sz w:val="20"/>
                <w:szCs w:val="20"/>
              </w:rPr>
              <w:t xml:space="preserve">  - id: query_difficulty</w:t>
            </w:r>
          </w:p>
          <w:p>
            <w:pPr>
              <w:spacing w:after="20" w:before="20"/>
              <w:jc w:val="left"/>
            </w:pPr>
            <w:r>
              <w:rPr>
                <w:rFonts w:ascii="Consolas" w:cs="Consolas" w:eastAsia="Consolas" w:hAnsi="Consolas"/>
                <w:sz w:val="20"/>
                <w:szCs w:val="20"/>
              </w:rPr>
              <w:t xml:space="preserve">    description: "Is this query high-effort vs low-effort overall?"</w:t>
            </w:r>
          </w:p>
          <w:p>
            <w:pPr>
              <w:spacing w:after="20" w:before="20"/>
              <w:jc w:val="left"/>
            </w:pPr>
            <w:r>
              <w:rPr>
                <w:rFonts w:ascii="Consolas" w:cs="Consolas" w:eastAsia="Consolas" w:hAnsi="Consolas"/>
                <w:sz w:val="20"/>
                <w:szCs w:val="20"/>
              </w:rPr>
              <w:t xml:space="preserve">    threshold: 0.55</w:t>
            </w:r>
          </w:p>
          <w:p>
            <w:pPr>
              <w:spacing w:after="20" w:before="20"/>
              <w:jc w:val="left"/>
            </w:pPr>
            <w:r>
              <w:rPr>
                <w:rFonts w:ascii="Consolas" w:cs="Consolas" w:eastAsia="Consolas" w:hAnsi="Consolas"/>
                <w:sz w:val="20"/>
                <w:szCs w:val="20"/>
              </w:rPr>
              <w:t xml:space="preserve">    weight: 0.20</w:t>
            </w:r>
          </w:p>
          <w:p>
            <w:pPr>
              <w:spacing w:after="20" w:before="20"/>
              <w:jc w:val="left"/>
            </w:pPr>
            <w:r>
              <w:rPr>
                <w:rFonts w:ascii="Consolas" w:cs="Consolas" w:eastAsia="Consolas" w:hAnsi="Consolas"/>
                <w:sz w:val="20"/>
                <w:szCs w:val="20"/>
              </w:rPr>
              <w:t xml:space="preserve">    hard:</w:t>
            </w:r>
          </w:p>
          <w:p>
            <w:pPr>
              <w:spacing w:after="20" w:before="20"/>
              <w:jc w:val="left"/>
            </w:pPr>
            <w:r>
              <w:rPr>
                <w:rFonts w:ascii="Consolas" w:cs="Consolas" w:eastAsia="Consolas" w:hAnsi="Consolas"/>
                <w:sz w:val="20"/>
                <w:szCs w:val="20"/>
              </w:rPr>
              <w:t xml:space="preserve">      candidates:</w:t>
            </w:r>
          </w:p>
          <w:p>
            <w:pPr>
              <w:spacing w:after="20" w:before="20"/>
              <w:jc w:val="left"/>
            </w:pPr>
            <w:r>
              <w:rPr>
                <w:rFonts w:ascii="Consolas" w:cs="Consolas" w:eastAsia="Consolas" w:hAnsi="Consolas"/>
                <w:sz w:val="20"/>
                <w:szCs w:val="20"/>
              </w:rPr>
              <w:t xml:space="preserve">        # Multi-step reasoning</w:t>
            </w:r>
          </w:p>
          <w:p>
            <w:pPr>
              <w:spacing w:after="20" w:before="20"/>
              <w:jc w:val="left"/>
            </w:pPr>
            <w:r>
              <w:rPr>
                <w:rFonts w:ascii="Consolas" w:cs="Consolas" w:eastAsia="Consolas" w:hAnsi="Consolas"/>
                <w:sz w:val="20"/>
                <w:szCs w:val="20"/>
              </w:rPr>
              <w:t xml:space="preserve">        - "Demonstrate that there are infinitely many primes."</w:t>
            </w:r>
          </w:p>
          <w:p>
            <w:pPr>
              <w:spacing w:after="20" w:before="20"/>
              <w:jc w:val="left"/>
            </w:pPr>
            <w:r>
              <w:rPr>
                <w:rFonts w:ascii="Consolas" w:cs="Consolas" w:eastAsia="Consolas" w:hAnsi="Consolas"/>
                <w:sz w:val="20"/>
                <w:szCs w:val="20"/>
              </w:rPr>
              <w:t xml:space="preserve">        - "Walk through how a 30% drop in labor-force participation</w:t>
            </w:r>
          </w:p>
          <w:p>
            <w:pPr>
              <w:spacing w:after="20" w:before="20"/>
              <w:jc w:val="left"/>
            </w:pPr>
            <w:r>
              <w:rPr>
                <w:rFonts w:ascii="Consolas" w:cs="Consolas" w:eastAsia="Consolas" w:hAnsi="Consolas"/>
                <w:sz w:val="20"/>
                <w:szCs w:val="20"/>
              </w:rPr>
              <w:t xml:space="preserve">           would propagate through a modern economy over a year."</w:t>
            </w:r>
          </w:p>
          <w:p>
            <w:pPr>
              <w:spacing w:after="20" w:before="20"/>
              <w:jc w:val="left"/>
            </w:pPr>
            <w:r>
              <w:rPr>
                <w:rFonts w:ascii="Consolas" w:cs="Consolas" w:eastAsia="Consolas" w:hAnsi="Consolas"/>
                <w:sz w:val="20"/>
                <w:szCs w:val="20"/>
              </w:rPr>
              <w:t xml:space="preserve">        # Deep domain expertise</w:t>
            </w:r>
          </w:p>
          <w:p>
            <w:pPr>
              <w:spacing w:after="20" w:before="20"/>
              <w:jc w:val="left"/>
            </w:pPr>
            <w:r>
              <w:rPr>
                <w:rFonts w:ascii="Consolas" w:cs="Consolas" w:eastAsia="Consolas" w:hAnsi="Consolas"/>
                <w:sz w:val="20"/>
                <w:szCs w:val="20"/>
              </w:rPr>
              <w:t xml:space="preserve">        - "Explain why the Banach-Tarski paradox doesn't contradict</w:t>
            </w:r>
          </w:p>
          <w:p>
            <w:pPr>
              <w:spacing w:after="20" w:before="20"/>
              <w:jc w:val="left"/>
            </w:pPr>
            <w:r>
              <w:rPr>
                <w:rFonts w:ascii="Consolas" w:cs="Consolas" w:eastAsia="Consolas" w:hAnsi="Consolas"/>
                <w:sz w:val="20"/>
                <w:szCs w:val="20"/>
              </w:rPr>
              <w:t xml:space="preserve">           measure theory."</w:t>
            </w:r>
          </w:p>
          <w:p>
            <w:pPr>
              <w:spacing w:after="20" w:before="20"/>
              <w:jc w:val="left"/>
            </w:pPr>
            <w:r>
              <w:rPr>
                <w:rFonts w:ascii="Consolas" w:cs="Consolas" w:eastAsia="Consolas" w:hAnsi="Consolas"/>
                <w:sz w:val="20"/>
                <w:szCs w:val="20"/>
              </w:rPr>
              <w:t xml:space="preserve">        - "Walk through how Raft handles split-vote and the design</w:t>
            </w:r>
          </w:p>
          <w:p>
            <w:pPr>
              <w:spacing w:after="20" w:before="20"/>
              <w:jc w:val="left"/>
            </w:pPr>
            <w:r>
              <w:rPr>
                <w:rFonts w:ascii="Consolas" w:cs="Consolas" w:eastAsia="Consolas" w:hAnsi="Consolas"/>
                <w:sz w:val="20"/>
                <w:szCs w:val="20"/>
              </w:rPr>
              <w:t xml:space="preserve">           choices that prevent livelock."</w:t>
            </w:r>
          </w:p>
          <w:p>
            <w:pPr>
              <w:spacing w:after="20" w:before="20"/>
              <w:jc w:val="left"/>
            </w:pPr>
            <w:r>
              <w:rPr>
                <w:rFonts w:ascii="Consolas" w:cs="Consolas" w:eastAsia="Consolas" w:hAnsi="Consolas"/>
                <w:sz w:val="20"/>
                <w:szCs w:val="20"/>
              </w:rPr>
              <w:t xml:space="preserve">        # Open-ended judgment</w:t>
            </w:r>
          </w:p>
          <w:p>
            <w:pPr>
              <w:spacing w:after="20" w:before="20"/>
              <w:jc w:val="left"/>
            </w:pPr>
            <w:r>
              <w:rPr>
                <w:rFonts w:ascii="Consolas" w:cs="Consolas" w:eastAsia="Consolas" w:hAnsi="Consolas"/>
                <w:sz w:val="20"/>
                <w:szCs w:val="20"/>
              </w:rPr>
              <w:t xml:space="preserve">        - "I'm choosing between a tech lead role with people management</w:t>
            </w:r>
          </w:p>
          <w:p>
            <w:pPr>
              <w:spacing w:after="20" w:before="20"/>
              <w:jc w:val="left"/>
            </w:pPr>
            <w:r>
              <w:rPr>
                <w:rFonts w:ascii="Consolas" w:cs="Consolas" w:eastAsia="Consolas" w:hAnsi="Consolas"/>
                <w:sz w:val="20"/>
                <w:szCs w:val="20"/>
              </w:rPr>
              <w:t xml:space="preserve">           and an IC architect role. How should I think about this?"</w:t>
            </w:r>
          </w:p>
          <w:p>
            <w:pPr>
              <w:spacing w:after="20" w:before="20"/>
              <w:jc w:val="left"/>
            </w:pPr>
            <w:r>
              <w:rPr>
                <w:rFonts w:ascii="Consolas" w:cs="Consolas" w:eastAsia="Consolas" w:hAnsi="Consolas"/>
                <w:sz w:val="20"/>
                <w:szCs w:val="20"/>
              </w:rPr>
              <w:t xml:space="preserve">        # ... and so on</w:t>
            </w:r>
          </w:p>
          <w:p>
            <w:pPr>
              <w:spacing w:after="20" w:before="20"/>
              <w:jc w:val="left"/>
            </w:pPr>
            <w:r>
              <w:rPr>
                <w:rFonts w:ascii="Consolas" w:cs="Consolas" w:eastAsia="Consolas" w:hAnsi="Consolas"/>
                <w:sz w:val="20"/>
                <w:szCs w:val="20"/>
              </w:rPr>
              <w:t xml:space="preserve">    easy:</w:t>
            </w:r>
          </w:p>
          <w:p>
            <w:pPr>
              <w:spacing w:after="20" w:before="20"/>
              <w:jc w:val="left"/>
            </w:pPr>
            <w:r>
              <w:rPr>
                <w:rFonts w:ascii="Consolas" w:cs="Consolas" w:eastAsia="Consolas" w:hAnsi="Consolas"/>
                <w:sz w:val="20"/>
                <w:szCs w:val="20"/>
              </w:rPr>
              <w:t xml:space="preserve">      candidates:</w:t>
            </w:r>
          </w:p>
          <w:p>
            <w:pPr>
              <w:spacing w:after="20" w:before="20"/>
              <w:jc w:val="left"/>
            </w:pPr>
            <w:r>
              <w:rPr>
                <w:rFonts w:ascii="Consolas" w:cs="Consolas" w:eastAsia="Consolas" w:hAnsi="Consolas"/>
                <w:sz w:val="20"/>
                <w:szCs w:val="20"/>
              </w:rPr>
              <w:t xml:space="preserve">        - "Which artist painted the Sistine Chapel ceiling?"</w:t>
            </w:r>
          </w:p>
          <w:p>
            <w:pPr>
              <w:spacing w:after="20" w:before="20"/>
              <w:jc w:val="left"/>
            </w:pPr>
            <w:r>
              <w:rPr>
                <w:rFonts w:ascii="Consolas" w:cs="Consolas" w:eastAsia="Consolas" w:hAnsi="Consolas"/>
                <w:sz w:val="20"/>
                <w:szCs w:val="20"/>
              </w:rPr>
              <w:t xml:space="preserve">        - "What is the chemical symbol for sodium?"</w:t>
            </w:r>
          </w:p>
          <w:p>
            <w:pPr>
              <w:spacing w:after="20" w:before="20"/>
              <w:jc w:val="left"/>
            </w:pPr>
            <w:r>
              <w:rPr>
                <w:rFonts w:ascii="Consolas" w:cs="Consolas" w:eastAsia="Consolas" w:hAnsi="Consolas"/>
                <w:sz w:val="20"/>
                <w:szCs w:val="20"/>
              </w:rPr>
              <w:t xml:space="preserve">        - "What is 15 plus 27?"</w:t>
            </w:r>
          </w:p>
          <w:p>
            <w:pPr>
              <w:spacing w:after="20" w:before="20"/>
              <w:jc w:val="left"/>
            </w:pPr>
            <w:r>
              <w:rPr>
                <w:rFonts w:ascii="Consolas" w:cs="Consolas" w:eastAsia="Consolas" w:hAnsi="Consolas"/>
                <w:sz w:val="20"/>
                <w:szCs w:val="20"/>
              </w:rPr>
              <w:t xml:space="preserve">        - "Define photosynthesis."</w:t>
            </w:r>
          </w:p>
          <w:p>
            <w:pPr>
              <w:spacing w:after="20" w:before="20"/>
              <w:jc w:val="left"/>
            </w:pPr>
            <w:r>
              <w:rPr>
                <w:rFonts w:ascii="Consolas" w:cs="Consolas" w:eastAsia="Consolas" w:hAnsi="Consolas"/>
                <w:sz w:val="20"/>
                <w:szCs w:val="20"/>
              </w:rPr>
              <w:t xml:space="preserve">        - "How do you say 'thank you' in French?"</w:t>
            </w:r>
          </w:p>
          <w:p>
            <w:pPr>
              <w:spacing w:after="20" w:before="20"/>
              <w:jc w:val="left"/>
            </w:pPr>
            <w:r>
              <w:rPr>
                <w:rFonts w:ascii="Consolas" w:cs="Consolas" w:eastAsia="Consolas" w:hAnsi="Consolas"/>
                <w:sz w:val="20"/>
                <w:szCs w:val="20"/>
              </w:rPr>
              <w:t xml:space="preserve">        # ... and so on</w:t>
            </w:r>
          </w:p>
        </w:tc>
      </w:tr>
    </w:tbl>
    <w:p>
      <w:pPr>
        <w:spacing w:after="80" w:before="80" w:line="320"/>
        <w:jc w:val="both"/>
      </w:pPr>
      <w:r>
        <w:rPr>
          <w:rFonts w:ascii="Arial" w:cs="Arial" w:eastAsia="Arial" w:hAnsi="Arial"/>
          <w:sz w:val="22"/>
          <w:szCs w:val="22"/>
        </w:rPr>
        <w:t xml:space="preserve">Twelve to fifteen exemplars per bank, spread across three or four archetype subgroups, is typically sufficient. Larger banks improve coverage marginally but increase per-request scoring cost. Smaller banks are faster but risk missing query shapes that should have been scored on the hard side.</w:t>
      </w:r>
    </w:p>
    <w:p>
      <w:pPr>
        <w:pStyle w:val="Heading2"/>
        <w:spacing w:after="140" w:before="280"/>
      </w:pPr>
      <w:r>
        <w:rPr>
          <w:rFonts w:ascii="Arial" w:cs="Arial" w:eastAsia="Arial" w:hAnsi="Arial"/>
          <w:b/>
          <w:bCs/>
          <w:color w:val="1F3864"/>
          <w:sz w:val="26"/>
          <w:szCs w:val="26"/>
        </w:rPr>
        <w:t xml:space="preserve">Promoter and Detractor Embedding Signals</w:t>
      </w:r>
    </w:p>
    <w:p>
      <w:pPr>
        <w:spacing w:after="80" w:before="80" w:line="320"/>
        <w:jc w:val="both"/>
      </w:pPr>
      <w:r>
        <w:rPr>
          <w:rFonts w:ascii="Arial" w:cs="Arial" w:eastAsia="Arial" w:hAnsi="Arial"/>
          <w:sz w:val="22"/>
          <w:szCs w:val="22"/>
        </w:rPr>
        <w:t xml:space="preserve">Beyond the central complexity signal, the configuration uses three additional embedding signals — each a single bank with its own threshold and weight. A negative-weight detractor pulls trivial queries firmly toward the bottom of the ladder. Two positive-weight promoters lift moderate-complexity and frontier-grade queries into their correct bands.</w:t>
      </w:r>
    </w:p>
    <w:p>
      <w:pPr>
        <w:pStyle w:val="ListParagraph"/>
        <w:numPr>
          <w:ilvl w:val="0"/>
          <w:numId w:val="2"/>
        </w:numPr>
        <w:spacing w:after="40" w:before="40" w:line="300"/>
      </w:pPr>
      <w:r>
        <w:rPr>
          <w:rFonts w:ascii="Arial" w:cs="Arial" w:eastAsia="Arial" w:hAnsi="Arial"/>
          <w:b/>
          <w:bCs/>
          <w:sz w:val="22"/>
          <w:szCs w:val="22"/>
        </w:rPr>
        <w:t xml:space="preserve">Trivial-lookup detractor (weight: -0.20). </w:t>
      </w:r>
      <w:r>
        <w:rPr>
          <w:rFonts w:ascii="Arial" w:cs="Arial" w:eastAsia="Arial" w:hAnsi="Arial"/>
          <w:sz w:val="22"/>
          <w:szCs w:val="22"/>
        </w:rPr>
        <w:t xml:space="preserve">Twelve short factual asks, definitions, and conversions. When this signal fires strongly, it subtracts from the difficulty score, anchoring "what is the capital of France"-shaped prompts in the bottom band even if other signals fire weakly.</w:t>
      </w:r>
    </w:p>
    <w:p>
      <w:pPr>
        <w:pStyle w:val="ListParagraph"/>
        <w:numPr>
          <w:ilvl w:val="0"/>
          <w:numId w:val="2"/>
        </w:numPr>
        <w:spacing w:after="40" w:before="40" w:line="300"/>
      </w:pPr>
      <w:r>
        <w:rPr>
          <w:rFonts w:ascii="Arial" w:cs="Arial" w:eastAsia="Arial" w:hAnsi="Arial"/>
          <w:b/>
          <w:bCs/>
          <w:sz w:val="22"/>
          <w:szCs w:val="22"/>
        </w:rPr>
        <w:t xml:space="preserve">Moderate-complexity promoter (weight: +0.22). </w:t>
      </w:r>
      <w:r>
        <w:rPr>
          <w:rFonts w:ascii="Arial" w:cs="Arial" w:eastAsia="Arial" w:hAnsi="Arial"/>
          <w:sz w:val="22"/>
          <w:szCs w:val="22"/>
        </w:rPr>
        <w:t xml:space="preserve">Twelve mid-difficulty technical archetypes: TLS-handshake walkthroughs, B-tree explanations, language-comparison prompts, basic algorithmic implementations. This bank is the one that catches the bulk of T3-suitable workhorse traffic.</w:t>
      </w:r>
    </w:p>
    <w:p>
      <w:pPr>
        <w:pStyle w:val="ListParagraph"/>
        <w:numPr>
          <w:ilvl w:val="0"/>
          <w:numId w:val="2"/>
        </w:numPr>
        <w:spacing w:after="40" w:before="40" w:line="300"/>
      </w:pPr>
      <w:r>
        <w:rPr>
          <w:rFonts w:ascii="Arial" w:cs="Arial" w:eastAsia="Arial" w:hAnsi="Arial"/>
          <w:b/>
          <w:bCs/>
          <w:sz w:val="22"/>
          <w:szCs w:val="22"/>
        </w:rPr>
        <w:t xml:space="preserve">Frontier-synthesis promoter (weight: +0.25). </w:t>
      </w:r>
      <w:r>
        <w:rPr>
          <w:rFonts w:ascii="Arial" w:cs="Arial" w:eastAsia="Arial" w:hAnsi="Arial"/>
          <w:sz w:val="22"/>
          <w:szCs w:val="22"/>
        </w:rPr>
        <w:t xml:space="preserve">Ten frontier archetypes: long-form literary craft, original argument construction for non-consensus positions, methodological critique with self-critique, frontier code review with intent reconstruction. This bank, combined with the structural long-prompt signal, drives genuinely frontier-grade traffic to T5.</w:t>
      </w:r>
    </w:p>
    <w:p>
      <w:pPr>
        <w:pStyle w:val="ListParagraph"/>
        <w:numPr>
          <w:ilvl w:val="0"/>
          <w:numId w:val="2"/>
        </w:numPr>
        <w:spacing w:after="40" w:before="40" w:line="300"/>
      </w:pPr>
      <w:r>
        <w:rPr>
          <w:rFonts w:ascii="Arial" w:cs="Arial" w:eastAsia="Arial" w:hAnsi="Arial"/>
          <w:b/>
          <w:bCs/>
          <w:sz w:val="22"/>
          <w:szCs w:val="22"/>
        </w:rPr>
        <w:t xml:space="preserve">Argumentative-construction promoter (weight: +0.18). </w:t>
      </w:r>
      <w:r>
        <w:rPr>
          <w:rFonts w:ascii="Arial" w:cs="Arial" w:eastAsia="Arial" w:hAnsi="Arial"/>
          <w:sz w:val="22"/>
          <w:szCs w:val="22"/>
        </w:rPr>
        <w:t xml:space="preserve">Twelve archetypes for judgment / commitment-shape T4 prompts: "pick one and tell me why," "diagnose what's wrong with this team dynamic," "recommend an action, not a framework." This bank exists to catch a specific T4 under-routing pattern observed in early benchmark runs.</w:t>
      </w:r>
    </w:p>
    <w:p>
      <w:pPr>
        <w:pStyle w:val="Heading2"/>
        <w:spacing w:after="140" w:before="280"/>
      </w:pPr>
      <w:r>
        <w:rPr>
          <w:rFonts w:ascii="Arial" w:cs="Arial" w:eastAsia="Arial" w:hAnsi="Arial"/>
          <w:b/>
          <w:bCs/>
          <w:color w:val="1F3864"/>
          <w:sz w:val="26"/>
          <w:szCs w:val="26"/>
        </w:rPr>
        <w:t xml:space="preserve">Structure Signals</w:t>
      </w:r>
    </w:p>
    <w:p>
      <w:pPr>
        <w:spacing w:after="80" w:before="80" w:line="320"/>
        <w:jc w:val="both"/>
      </w:pPr>
      <w:r>
        <w:rPr>
          <w:rFonts w:ascii="Arial" w:cs="Arial" w:eastAsia="Arial" w:hAnsi="Arial"/>
          <w:sz w:val="22"/>
          <w:szCs w:val="22"/>
        </w:rPr>
        <w:t xml:space="preserve">Structural signals catch features that embedding similarity can miss. Five of them are configured: short prompts under 12 words (small negative weight), prompts of 25+ words (small positive), prompts of 400+ words (additional positive), prompts containing a fenced code block, and prompts with two or more question marks. These are mechanical regex matches. They are individually weak but stack usefully with the embedding signals on borderline cases.</w:t>
      </w:r>
    </w:p>
    <w:p>
      <w:r>
        <w:br w:type="page"/>
      </w:r>
    </w:p>
    <w:p>
      <w:pPr>
        <w:pStyle w:val="Heading1"/>
        <w:spacing w:after="180" w:before="360"/>
      </w:pPr>
      <w:r>
        <w:rPr>
          <w:rFonts w:ascii="Arial" w:cs="Arial" w:eastAsia="Arial" w:hAnsi="Arial"/>
          <w:b/>
          <w:bCs/>
          <w:color w:val="1F3864"/>
          <w:sz w:val="32"/>
          <w:szCs w:val="32"/>
        </w:rPr>
        <w:t xml:space="preserve">Section 6: Tuning Tier Cutoffs and Weights</w:t>
      </w:r>
    </w:p>
    <w:p>
      <w:pPr>
        <w:spacing w:after="80" w:before="80" w:line="320"/>
        <w:jc w:val="both"/>
      </w:pPr>
      <w:r>
        <w:rPr>
          <w:rFonts w:ascii="Arial" w:cs="Arial" w:eastAsia="Arial" w:hAnsi="Arial"/>
          <w:sz w:val="22"/>
          <w:szCs w:val="22"/>
        </w:rPr>
        <w:t xml:space="preserve">Two operator-facing knobs control where the router sends each query: the per-signal weights and the tier cutoffs. Both live in a single human-readable YAML file. Everything else — the request_difficulty projection, the band partition, the per-tier decision rules — is generated by the build step from this file. The intention is that an operator can read the configuration, understand what the router will do, and adjust it without touching any code.</w:t>
      </w:r>
    </w:p>
    <w:p>
      <w:pPr>
        <w:pStyle w:val="Heading2"/>
        <w:spacing w:after="140" w:before="280"/>
      </w:pPr>
      <w:r>
        <w:rPr>
          <w:rFonts w:ascii="Arial" w:cs="Arial" w:eastAsia="Arial" w:hAnsi="Arial"/>
          <w:b/>
          <w:bCs/>
          <w:color w:val="1F3864"/>
          <w:sz w:val="26"/>
          <w:szCs w:val="26"/>
        </w:rPr>
        <w:t xml:space="preserve">Starting Weights</w:t>
      </w:r>
    </w:p>
    <w:p>
      <w:pPr>
        <w:spacing w:after="80" w:before="80" w:line="320"/>
        <w:jc w:val="both"/>
      </w:pPr>
      <w:r>
        <w:rPr>
          <w:rFonts w:ascii="Arial" w:cs="Arial" w:eastAsia="Arial" w:hAnsi="Arial"/>
          <w:sz w:val="22"/>
          <w:szCs w:val="22"/>
        </w:rPr>
        <w:t xml:space="preserve">The weights used for the benchmark in this paper produce a difficulty score distribution centered roughly on 0.1, with a long right tail reaching about 0.55 for genuinely frontier prompts and a small left-of-zero region for prompts that match the trivial-lookup detractor most strongly. The cutoffs were chosen to partition this distribution into approximately the desired tier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300"/>
        <w:gridCol w:w="276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Signal</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Type</w:t>
            </w:r>
          </w:p>
        </w:tc>
        <w:tc>
          <w:tcPr>
            <w:tcW w:type="dxa" w:w="1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Weight</w:t>
            </w:r>
          </w:p>
        </w:tc>
        <w:tc>
          <w:tcPr>
            <w:tcW w:type="dxa" w:w="2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Effect</w:t>
            </w:r>
          </w:p>
        </w:tc>
      </w:tr>
      <w:tr>
        <w:trPr>
          <w:tblHeader w:val="false"/>
        </w:trP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query_difficulty (hard/easy)</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Complexity</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0.20</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Central — present on every prompt</w:t>
            </w:r>
          </w:p>
        </w:tc>
      </w:tr>
      <w:tr>
        <w:trPr>
          <w:tblHeader w:val="false"/>
        </w:trP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trivial_lookup</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Embedding (detractor)</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-0.20</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Anchors trivia at T1/T3</w:t>
            </w:r>
          </w:p>
        </w:tc>
      </w:tr>
      <w:tr>
        <w:trPr>
          <w:tblHeader w:val="false"/>
        </w:trP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moderate_complexity</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Embedding (promoter)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0.22</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Lifts mid-difficulty into T3</w:t>
            </w:r>
          </w:p>
        </w:tc>
      </w:tr>
      <w:tr>
        <w:trPr>
          <w:tblHeader w:val="false"/>
        </w:trP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argumentative_construction</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Embedding (promoter)</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0.18</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Lifts judgment prompts into T4</w:t>
            </w:r>
          </w:p>
        </w:tc>
      </w:tr>
      <w:tr>
        <w:trPr>
          <w:tblHeader w:val="false"/>
        </w:trP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frontier_synthesis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Embedding (promoter)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0.25</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Lifts frontier prompts into T5</w:t>
            </w:r>
          </w:p>
        </w:tc>
      </w:tr>
      <w:tr>
        <w:trPr>
          <w:tblHeader w:val="false"/>
        </w:trP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short_prompt (&lt;12 words)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Structure (detractor)</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-0.08</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Pulls very-short queries down</w:t>
            </w:r>
          </w:p>
        </w:tc>
      </w:tr>
      <w:tr>
        <w:trPr>
          <w:tblHeader w:val="false"/>
        </w:trP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long_prompt (&gt;=25 words)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Structure (promoter)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0.08</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Catches medium technical asks</w:t>
            </w:r>
          </w:p>
        </w:tc>
      </w:tr>
      <w:tr>
        <w:trPr>
          <w:tblHeader w:val="false"/>
        </w:trP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very_long_prompt (&gt;=400 words)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Structure (promoter)</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0.10</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Catches long-form complex asks</w:t>
            </w:r>
          </w:p>
        </w:tc>
      </w:tr>
      <w:tr>
        <w:trPr>
          <w:tblHeader w:val="false"/>
        </w:trP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code_block_present</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Structure (promoter)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0.07</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Lifts code-heavy prompts</w:t>
            </w:r>
          </w:p>
        </w:tc>
      </w:tr>
      <w:tr>
        <w:trPr>
          <w:tblHeader w:val="false"/>
        </w:trPr>
        <w:tc>
          <w:tcPr>
            <w:tcW w:type="dxa" w:w="3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multi_question (2+ ?s)</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Structure (promoter)</w:t>
            </w:r>
          </w:p>
        </w:tc>
        <w:tc>
          <w:tcPr>
            <w:tcW w:type="dxa" w:w="1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0.05</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Lifts multi-part prompts</w:t>
            </w:r>
          </w:p>
        </w:tc>
      </w:tr>
      <w:tr>
        <w:trPr>
          <w:tblHeader w:val="false"/>
        </w:trPr>
        <w:tc>
          <w:tcPr>
            <w:tcW w:type="dxa" w:w="3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long_context (&gt;2K tokens)</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Context (promoter)</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0.10</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Long contexts need bigger models</w:t>
            </w:r>
          </w:p>
        </w:tc>
      </w:tr>
    </w:tbl>
    <w:p>
      <w:pPr>
        <w:pStyle w:val="Heading2"/>
        <w:spacing w:after="140" w:before="280"/>
      </w:pPr>
      <w:r>
        <w:rPr>
          <w:rFonts w:ascii="Arial" w:cs="Arial" w:eastAsia="Arial" w:hAnsi="Arial"/>
          <w:b/>
          <w:bCs/>
          <w:color w:val="1F3864"/>
          <w:sz w:val="26"/>
          <w:szCs w:val="26"/>
        </w:rPr>
        <w:t xml:space="preserve">Calibrating Cutoffs Against Real Traffic</w:t>
      </w:r>
    </w:p>
    <w:p>
      <w:pPr>
        <w:spacing w:after="80" w:before="80" w:line="320"/>
        <w:jc w:val="both"/>
      </w:pPr>
      <w:r>
        <w:rPr>
          <w:rFonts w:ascii="Arial" w:cs="Arial" w:eastAsia="Arial" w:hAnsi="Arial"/>
          <w:sz w:val="22"/>
          <w:szCs w:val="22"/>
        </w:rPr>
        <w:t xml:space="preserve">The cutoffs given here — [0.03, 0.10, 0.18, 0.40] — are a starting point. The correct cutoffs for a given workload depend on the actual distribution of request_difficulty scores produced when real traffic is replayed against the configured signals. The recommended calibration procedure is:</w:t>
      </w:r>
    </w:p>
    <w:p>
      <w:pPr>
        <w:pStyle w:val="ListParagraph"/>
        <w:numPr>
          <w:ilvl w:val="0"/>
          <w:numId w:val="2"/>
        </w:numPr>
        <w:spacing w:after="40" w:before="40" w:line="300"/>
      </w:pPr>
      <w:r>
        <w:rPr>
          <w:rFonts w:ascii="Arial" w:cs="Arial" w:eastAsia="Arial" w:hAnsi="Arial"/>
          <w:sz w:val="22"/>
          <w:szCs w:val="22"/>
        </w:rPr>
        <w:t xml:space="preserve">1. Run a representative sample of production traffic (a few thousand queries) through the router with logging enabled. Record the per-query difficulty score.</w:t>
      </w:r>
    </w:p>
    <w:p>
      <w:pPr>
        <w:pStyle w:val="ListParagraph"/>
        <w:numPr>
          <w:ilvl w:val="0"/>
          <w:numId w:val="2"/>
        </w:numPr>
        <w:spacing w:after="40" w:before="40" w:line="300"/>
      </w:pPr>
      <w:r>
        <w:rPr>
          <w:rFonts w:ascii="Arial" w:cs="Arial" w:eastAsia="Arial" w:hAnsi="Arial"/>
          <w:sz w:val="22"/>
          <w:szCs w:val="22"/>
        </w:rPr>
        <w:t xml:space="preserve">2. Plot the resulting score distribution. It will typically be unimodal with a long right tail; the spread depends on how diverse the workload is.</w:t>
      </w:r>
    </w:p>
    <w:p>
      <w:pPr>
        <w:pStyle w:val="ListParagraph"/>
        <w:numPr>
          <w:ilvl w:val="0"/>
          <w:numId w:val="2"/>
        </w:numPr>
        <w:spacing w:after="40" w:before="40" w:line="300"/>
      </w:pPr>
      <w:r>
        <w:rPr>
          <w:rFonts w:ascii="Arial" w:cs="Arial" w:eastAsia="Arial" w:hAnsi="Arial"/>
          <w:sz w:val="22"/>
          <w:szCs w:val="22"/>
        </w:rPr>
        <w:t xml:space="preserve">3. Pick cutoffs that divide the distribution into the desired tier mix for your business. If you want roughly 80% of traffic on T3, set the upper-T3 cutoff at the 80th-percentile score; if you want only the top 5% reaching T5, set the T5 cutoff at the 95th-percentile score.</w:t>
      </w:r>
    </w:p>
    <w:p>
      <w:pPr>
        <w:pStyle w:val="ListParagraph"/>
        <w:numPr>
          <w:ilvl w:val="0"/>
          <w:numId w:val="2"/>
        </w:numPr>
        <w:spacing w:after="40" w:before="40" w:line="300"/>
      </w:pPr>
      <w:r>
        <w:rPr>
          <w:rFonts w:ascii="Arial" w:cs="Arial" w:eastAsia="Arial" w:hAnsi="Arial"/>
          <w:sz w:val="22"/>
          <w:szCs w:val="22"/>
        </w:rPr>
        <w:t xml:space="preserve">4. Re-run a labeled validation set against the new cutoffs and measure adequacy. Adjust per-signal weights if specific archetypes are consistently mis-routed.</w:t>
      </w:r>
    </w:p>
    <w:p>
      <w:pPr>
        <w:spacing w:after="80" w:before="80" w:line="320"/>
        <w:jc w:val="both"/>
      </w:pPr>
      <w:r>
        <w:rPr>
          <w:rFonts w:ascii="Arial" w:cs="Arial" w:eastAsia="Arial" w:hAnsi="Arial"/>
          <w:sz w:val="22"/>
          <w:szCs w:val="22"/>
        </w:rPr>
        <w:t xml:space="preserve">Cutoff tuning is the single highest-leverage operation an operator can perform after initial deployment. Weights are second. Exemplar banks are tuned more rarely — only when a recurring class of query is consistently missed by the existing banks. The same YAML drives all three; routinely commit it to source control alongside the rest of your infrastructure configuration.</w:t>
      </w:r>
    </w:p>
    <w:p>
      <w:pPr>
        <w:pStyle w:val="Heading2"/>
        <w:spacing w:after="140" w:before="280"/>
      </w:pPr>
      <w:r>
        <w:rPr>
          <w:rFonts w:ascii="Arial" w:cs="Arial" w:eastAsia="Arial" w:hAnsi="Arial"/>
          <w:b/>
          <w:bCs/>
          <w:color w:val="1F3864"/>
          <w:sz w:val="26"/>
          <w:szCs w:val="26"/>
        </w:rPr>
        <w:t xml:space="preserve">Detecting and Responding to Drift</w:t>
      </w:r>
    </w:p>
    <w:p>
      <w:pPr>
        <w:spacing w:after="80" w:before="80" w:line="320"/>
        <w:jc w:val="both"/>
      </w:pPr>
      <w:r>
        <w:rPr>
          <w:rFonts w:ascii="Arial" w:cs="Arial" w:eastAsia="Arial" w:hAnsi="Arial"/>
          <w:sz w:val="22"/>
          <w:szCs w:val="22"/>
        </w:rPr>
        <w:t xml:space="preserve">Workload distributions drift over time as products evolve and users develop new query habits. The signals required to detect drift are simple. Monitor (a) the request_difficulty score distribution week over week, (b) the per-tier query rate, and (c) the per-tier adequacy rate sampled offline. A shift in the score distribution without a corresponding shift in adequacy usually means the cutoffs need recalibration. A drop in adequacy on a specific tier usually means an archetype has appeared that none of the exemplar banks cover well, and the exemplars need refreshing.</w:t>
      </w:r>
    </w:p>
    <w:p>
      <w:r>
        <w:br w:type="page"/>
      </w:r>
    </w:p>
    <w:p>
      <w:pPr>
        <w:pStyle w:val="Heading1"/>
        <w:spacing w:after="180" w:before="360"/>
      </w:pPr>
      <w:r>
        <w:rPr>
          <w:rFonts w:ascii="Arial" w:cs="Arial" w:eastAsia="Arial" w:hAnsi="Arial"/>
          <w:b/>
          <w:bCs/>
          <w:color w:val="1F3864"/>
          <w:sz w:val="32"/>
          <w:szCs w:val="32"/>
        </w:rPr>
        <w:t xml:space="preserve">Section 7: Implementing vLLM Semantic Router</w:t>
      </w:r>
    </w:p>
    <w:p>
      <w:pPr>
        <w:spacing w:after="80" w:before="80" w:line="320"/>
        <w:jc w:val="both"/>
      </w:pPr>
      <w:r>
        <w:rPr>
          <w:rFonts w:ascii="Arial" w:cs="Arial" w:eastAsia="Arial" w:hAnsi="Arial"/>
          <w:sz w:val="22"/>
          <w:szCs w:val="22"/>
        </w:rPr>
        <w:t xml:space="preserve">The vLLM Semantic Router is an open-source project (vllm-sr) maintained by the vLLM community. It is distributed as a binary that brings up a small Docker stack — router, Envoy frontend, optional dashboard, optional observability components — and exposes an OpenAI-compatible endpoint. This section describes how to stand up a cloud-only configuration suitable for the architecture described above.</w:t>
      </w:r>
    </w:p>
    <w:p>
      <w:pPr>
        <w:pStyle w:val="Heading2"/>
        <w:spacing w:after="140" w:before="280"/>
      </w:pPr>
      <w:r>
        <w:rPr>
          <w:rFonts w:ascii="Arial" w:cs="Arial" w:eastAsia="Arial" w:hAnsi="Arial"/>
          <w:b/>
          <w:bCs/>
          <w:color w:val="1F3864"/>
          <w:sz w:val="26"/>
          <w:szCs w:val="26"/>
        </w:rPr>
        <w:t xml:space="preserve">Prerequisites</w:t>
      </w:r>
    </w:p>
    <w:p>
      <w:pPr>
        <w:pStyle w:val="ListParagraph"/>
        <w:numPr>
          <w:ilvl w:val="0"/>
          <w:numId w:val="2"/>
        </w:numPr>
        <w:spacing w:after="40" w:before="40" w:line="300"/>
      </w:pPr>
      <w:r>
        <w:rPr>
          <w:rFonts w:ascii="Arial" w:cs="Arial" w:eastAsia="Arial" w:hAnsi="Arial"/>
          <w:sz w:val="22"/>
          <w:szCs w:val="22"/>
        </w:rPr>
        <w:t xml:space="preserve">A host with Docker and Docker Compose, with network access to your chosen cloud LLM provider endpoints.</w:t>
      </w:r>
    </w:p>
    <w:p>
      <w:pPr>
        <w:pStyle w:val="ListParagraph"/>
        <w:numPr>
          <w:ilvl w:val="0"/>
          <w:numId w:val="2"/>
        </w:numPr>
        <w:spacing w:after="40" w:before="40" w:line="300"/>
      </w:pPr>
      <w:r>
        <w:rPr>
          <w:rFonts w:ascii="Arial" w:cs="Arial" w:eastAsia="Arial" w:hAnsi="Arial"/>
          <w:sz w:val="22"/>
          <w:szCs w:val="22"/>
        </w:rPr>
        <w:t xml:space="preserve">API keys for each cloud tier (T3 via your open-model API provider; T4 and T5 via your frontier vendor).</w:t>
      </w:r>
    </w:p>
    <w:p>
      <w:pPr>
        <w:pStyle w:val="ListParagraph"/>
        <w:numPr>
          <w:ilvl w:val="0"/>
          <w:numId w:val="2"/>
        </w:numPr>
        <w:spacing w:after="40" w:before="40" w:line="300"/>
      </w:pPr>
      <w:r>
        <w:rPr>
          <w:rFonts w:ascii="Arial" w:cs="Arial" w:eastAsia="Arial" w:hAnsi="Arial"/>
          <w:sz w:val="22"/>
          <w:szCs w:val="22"/>
        </w:rPr>
        <w:t xml:space="preserve">vllm-sr installed via the published CLI distribution. The host CLI manages the Docker stack lifecycle.</w:t>
      </w:r>
    </w:p>
    <w:p>
      <w:pPr>
        <w:pStyle w:val="ListParagraph"/>
        <w:numPr>
          <w:ilvl w:val="0"/>
          <w:numId w:val="2"/>
        </w:numPr>
        <w:spacing w:after="40" w:before="40" w:line="300"/>
      </w:pPr>
      <w:r>
        <w:rPr>
          <w:rFonts w:ascii="Arial" w:cs="Arial" w:eastAsia="Arial" w:hAnsi="Arial"/>
          <w:sz w:val="22"/>
          <w:szCs w:val="22"/>
        </w:rPr>
        <w:t xml:space="preserve">Routing configuration in YAML: tier definitions, exemplar banks, and router-side backend endpoints.</w:t>
      </w:r>
    </w:p>
    <w:p>
      <w:pPr>
        <w:pStyle w:val="Heading2"/>
        <w:spacing w:after="140" w:before="280"/>
      </w:pPr>
      <w:r>
        <w:rPr>
          <w:rFonts w:ascii="Arial" w:cs="Arial" w:eastAsia="Arial" w:hAnsi="Arial"/>
          <w:b/>
          <w:bCs/>
          <w:color w:val="1F3864"/>
          <w:sz w:val="26"/>
          <w:szCs w:val="26"/>
        </w:rPr>
        <w:t xml:space="preserve">Configuration File Layout</w:t>
      </w:r>
    </w:p>
    <w:p>
      <w:pPr>
        <w:spacing w:after="80" w:before="80" w:line="320"/>
        <w:jc w:val="both"/>
      </w:pPr>
      <w:r>
        <w:rPr>
          <w:rFonts w:ascii="Arial" w:cs="Arial" w:eastAsia="Arial" w:hAnsi="Arial"/>
          <w:sz w:val="22"/>
          <w:szCs w:val="22"/>
        </w:rPr>
        <w:t xml:space="preserve">A minimal cloud-only deployment requires four configuration files. The first three are human-edited; the fourth is generated by the build step. Keep them in a directory under version control alongside the rest of your infrastructure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20" w:before="20"/>
              <w:jc w:val="left"/>
            </w:pPr>
            <w:r>
              <w:rPr>
                <w:rFonts w:ascii="Consolas" w:cs="Consolas" w:eastAsia="Consolas" w:hAnsi="Consolas"/>
                <w:sz w:val="20"/>
                <w:szCs w:val="20"/>
              </w:rPr>
              <w:t xml:space="preserve">config/</w:t>
            </w:r>
          </w:p>
          <w:p>
            <w:pPr>
              <w:spacing w:after="20" w:before="20"/>
              <w:jc w:val="left"/>
            </w:pPr>
            <w:r>
              <w:rPr>
                <w:rFonts w:ascii="Consolas" w:cs="Consolas" w:eastAsia="Consolas" w:hAnsi="Consolas"/>
                <w:sz w:val="20"/>
                <w:szCs w:val="20"/>
              </w:rPr>
              <w:t xml:space="preserve">├── tiers/</w:t>
            </w:r>
          </w:p>
          <w:p>
            <w:pPr>
              <w:spacing w:after="20" w:before="20"/>
              <w:jc w:val="left"/>
            </w:pPr>
            <w:r>
              <w:rPr>
                <w:rFonts w:ascii="Consolas" w:cs="Consolas" w:eastAsia="Consolas" w:hAnsi="Consolas"/>
                <w:sz w:val="20"/>
                <w:szCs w:val="20"/>
              </w:rPr>
              <w:t xml:space="preserve">│   ├── tier3.yaml         # T3 endpoint, model, pricing metadata</w:t>
            </w:r>
          </w:p>
          <w:p>
            <w:pPr>
              <w:spacing w:after="20" w:before="20"/>
              <w:jc w:val="left"/>
            </w:pPr>
            <w:r>
              <w:rPr>
                <w:rFonts w:ascii="Consolas" w:cs="Consolas" w:eastAsia="Consolas" w:hAnsi="Consolas"/>
                <w:sz w:val="20"/>
                <w:szCs w:val="20"/>
              </w:rPr>
              <w:t xml:space="preserve">│   ├── tier4.yaml         # T4 endpoint, model, pricing metadata</w:t>
            </w:r>
          </w:p>
          <w:p>
            <w:pPr>
              <w:spacing w:after="20" w:before="20"/>
              <w:jc w:val="left"/>
            </w:pPr>
            <w:r>
              <w:rPr>
                <w:rFonts w:ascii="Consolas" w:cs="Consolas" w:eastAsia="Consolas" w:hAnsi="Consolas"/>
                <w:sz w:val="20"/>
                <w:szCs w:val="20"/>
              </w:rPr>
              <w:t xml:space="preserve">│   └── tier5.yaml         # T5 endpoint, model, pricing metadata</w:t>
            </w:r>
          </w:p>
          <w:p>
            <w:pPr>
              <w:spacing w:after="20" w:before="20"/>
              <w:jc w:val="left"/>
            </w:pPr>
            <w:r>
              <w:rPr>
                <w:rFonts w:ascii="Consolas" w:cs="Consolas" w:eastAsia="Consolas" w:hAnsi="Consolas"/>
                <w:sz w:val="20"/>
                <w:szCs w:val="20"/>
              </w:rPr>
              <w:t xml:space="preserve">├── router-exemplars.yaml  # Routing logic: exemplars, weights, cutoffs</w:t>
            </w:r>
          </w:p>
          <w:p>
            <w:pPr>
              <w:spacing w:after="20" w:before="20"/>
              <w:jc w:val="left"/>
            </w:pPr>
            <w:r>
              <w:rPr>
                <w:rFonts w:ascii="Consolas" w:cs="Consolas" w:eastAsia="Consolas" w:hAnsi="Consolas"/>
                <w:sz w:val="20"/>
                <w:szCs w:val="20"/>
              </w:rPr>
              <w:t xml:space="preserve">├── router-backends.yaml   # Per-tier router-facing endpoints</w:t>
            </w:r>
          </w:p>
          <w:p>
            <w:pPr>
              <w:spacing w:after="20" w:before="20"/>
              <w:jc w:val="left"/>
            </w:pPr>
            <w:r>
              <w:rPr>
                <w:rFonts w:ascii="Consolas" w:cs="Consolas" w:eastAsia="Consolas" w:hAnsi="Consolas"/>
                <w:sz w:val="20"/>
                <w:szCs w:val="20"/>
              </w:rPr>
              <w:t xml:space="preserve">└── router-config.yaml     # GENERATED — what vllm-sr serve reads</w:t>
            </w:r>
          </w:p>
        </w:tc>
      </w:tr>
    </w:tbl>
    <w:p>
      <w:pPr>
        <w:pStyle w:val="Heading3"/>
        <w:spacing w:after="100" w:before="200"/>
      </w:pPr>
      <w:r>
        <w:rPr>
          <w:rFonts w:ascii="Arial" w:cs="Arial" w:eastAsia="Arial" w:hAnsi="Arial"/>
          <w:b/>
          <w:bCs/>
          <w:color w:val="1F3864"/>
          <w:sz w:val="23"/>
          <w:szCs w:val="23"/>
        </w:rPr>
        <w:t xml:space="preserve">Tier Definitions</w:t>
      </w:r>
    </w:p>
    <w:p>
      <w:pPr>
        <w:spacing w:after="80" w:before="80" w:line="320"/>
        <w:jc w:val="both"/>
      </w:pPr>
      <w:r>
        <w:rPr>
          <w:rFonts w:ascii="Arial" w:cs="Arial" w:eastAsia="Arial" w:hAnsi="Arial"/>
          <w:sz w:val="22"/>
          <w:szCs w:val="22"/>
        </w:rPr>
        <w:t xml:space="preserve">Each cloud tier is described by a single YAML file. The file declares the tier's neutral identifier, its OpenAI-compatible endpoint, the served model name (vendor-specific), and the API key environment variable. Adding or replacing a tier is a single-file edit. No code changes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20" w:before="20"/>
              <w:jc w:val="left"/>
            </w:pPr>
            <w:r>
              <w:rPr>
                <w:rFonts w:ascii="Consolas" w:cs="Consolas" w:eastAsia="Consolas" w:hAnsi="Consolas"/>
                <w:sz w:val="20"/>
                <w:szCs w:val="20"/>
              </w:rPr>
              <w:t xml:space="preserve"># config/tiers/tier5.yaml — Anthropic Claude Opus</w:t>
            </w:r>
          </w:p>
          <w:p>
            <w:pPr>
              <w:spacing w:after="20" w:before="20"/>
              <w:jc w:val="left"/>
            </w:pPr>
            <w:r>
              <w:rPr>
                <w:rFonts w:ascii="Consolas" w:cs="Consolas" w:eastAsia="Consolas" w:hAnsi="Consolas"/>
                <w:sz w:val="20"/>
                <w:szCs w:val="20"/>
              </w:rPr>
              <w:t xml:space="preserve"> </w:t>
            </w:r>
          </w:p>
          <w:p>
            <w:pPr>
              <w:spacing w:after="20" w:before="20"/>
              <w:jc w:val="left"/>
            </w:pPr>
            <w:r>
              <w:rPr>
                <w:rFonts w:ascii="Consolas" w:cs="Consolas" w:eastAsia="Consolas" w:hAnsi="Consolas"/>
                <w:sz w:val="20"/>
                <w:szCs w:val="20"/>
              </w:rPr>
              <w:t xml:space="preserve">name: tier5</w:t>
            </w:r>
          </w:p>
          <w:p>
            <w:pPr>
              <w:spacing w:after="20" w:before="20"/>
              <w:jc w:val="left"/>
            </w:pPr>
            <w:r>
              <w:rPr>
                <w:rFonts w:ascii="Consolas" w:cs="Consolas" w:eastAsia="Consolas" w:hAnsi="Consolas"/>
                <w:sz w:val="20"/>
                <w:szCs w:val="20"/>
              </w:rPr>
              <w:t xml:space="preserve">level: 5</w:t>
            </w:r>
          </w:p>
          <w:p>
            <w:pPr>
              <w:spacing w:after="20" w:before="20"/>
              <w:jc w:val="left"/>
            </w:pPr>
            <w:r>
              <w:rPr>
                <w:rFonts w:ascii="Consolas" w:cs="Consolas" w:eastAsia="Consolas" w:hAnsi="Consolas"/>
                <w:sz w:val="20"/>
                <w:szCs w:val="20"/>
              </w:rPr>
              <w:t xml:space="preserve">specializations: [general, coding, math, reasoning, creative_writing]</w:t>
            </w:r>
          </w:p>
          <w:p>
            <w:pPr>
              <w:spacing w:after="20" w:before="20"/>
              <w:jc w:val="left"/>
            </w:pPr>
            <w:r>
              <w:rPr>
                <w:rFonts w:ascii="Consolas" w:cs="Consolas" w:eastAsia="Consolas" w:hAnsi="Consolas"/>
                <w:sz w:val="20"/>
                <w:szCs w:val="20"/>
              </w:rPr>
              <w:t xml:space="preserve">timeout_s: 240</w:t>
            </w:r>
          </w:p>
          <w:p>
            <w:pPr>
              <w:spacing w:after="20" w:before="20"/>
              <w:jc w:val="left"/>
            </w:pPr>
            <w:r>
              <w:rPr>
                <w:rFonts w:ascii="Consolas" w:cs="Consolas" w:eastAsia="Consolas" w:hAnsi="Consolas"/>
                <w:sz w:val="20"/>
                <w:szCs w:val="20"/>
              </w:rPr>
              <w:t xml:space="preserve"> </w:t>
            </w:r>
          </w:p>
          <w:p>
            <w:pPr>
              <w:spacing w:after="20" w:before="20"/>
              <w:jc w:val="left"/>
            </w:pPr>
            <w:r>
              <w:rPr>
                <w:rFonts w:ascii="Consolas" w:cs="Consolas" w:eastAsia="Consolas" w:hAnsi="Consolas"/>
                <w:sz w:val="20"/>
                <w:szCs w:val="20"/>
              </w:rPr>
              <w:t xml:space="preserve">router_alias: tier5</w:t>
            </w:r>
          </w:p>
          <w:p>
            <w:pPr>
              <w:spacing w:after="20" w:before="20"/>
              <w:jc w:val="left"/>
            </w:pPr>
            <w:r>
              <w:rPr>
                <w:rFonts w:ascii="Consolas" w:cs="Consolas" w:eastAsia="Consolas" w:hAnsi="Consolas"/>
                <w:sz w:val="20"/>
                <w:szCs w:val="20"/>
              </w:rPr>
              <w:t xml:space="preserve">served_model_name: claude-opus-4-7</w:t>
            </w:r>
          </w:p>
          <w:p>
            <w:pPr>
              <w:spacing w:after="20" w:before="20"/>
              <w:jc w:val="left"/>
            </w:pPr>
            <w:r>
              <w:rPr>
                <w:rFonts w:ascii="Consolas" w:cs="Consolas" w:eastAsia="Consolas" w:hAnsi="Consolas"/>
                <w:sz w:val="20"/>
                <w:szCs w:val="20"/>
              </w:rPr>
              <w:t xml:space="preserve"> </w:t>
            </w:r>
          </w:p>
          <w:p>
            <w:pPr>
              <w:spacing w:after="20" w:before="20"/>
              <w:jc w:val="left"/>
            </w:pPr>
            <w:r>
              <w:rPr>
                <w:rFonts w:ascii="Consolas" w:cs="Consolas" w:eastAsia="Consolas" w:hAnsi="Consolas"/>
                <w:sz w:val="20"/>
                <w:szCs w:val="20"/>
              </w:rPr>
              <w:t xml:space="preserve">endpoint:</w:t>
            </w:r>
          </w:p>
          <w:p>
            <w:pPr>
              <w:spacing w:after="20" w:before="20"/>
              <w:jc w:val="left"/>
            </w:pPr>
            <w:r>
              <w:rPr>
                <w:rFonts w:ascii="Consolas" w:cs="Consolas" w:eastAsia="Consolas" w:hAnsi="Consolas"/>
                <w:sz w:val="20"/>
                <w:szCs w:val="20"/>
              </w:rPr>
              <w:t xml:space="preserve">  url: https://api.anthropic.com/v1</w:t>
            </w:r>
          </w:p>
          <w:p>
            <w:pPr>
              <w:spacing w:after="20" w:before="20"/>
              <w:jc w:val="left"/>
            </w:pPr>
            <w:r>
              <w:rPr>
                <w:rFonts w:ascii="Consolas" w:cs="Consolas" w:eastAsia="Consolas" w:hAnsi="Consolas"/>
                <w:sz w:val="20"/>
                <w:szCs w:val="20"/>
              </w:rPr>
              <w:t xml:space="preserve">  api_key_env: ANTHROPIC_API_KEY</w:t>
            </w:r>
          </w:p>
          <w:p>
            <w:pPr>
              <w:spacing w:after="20" w:before="20"/>
              <w:jc w:val="left"/>
            </w:pPr>
            <w:r>
              <w:rPr>
                <w:rFonts w:ascii="Consolas" w:cs="Consolas" w:eastAsia="Consolas" w:hAnsi="Consolas"/>
                <w:sz w:val="20"/>
                <w:szCs w:val="20"/>
              </w:rPr>
              <w:t xml:space="preserve"> </w:t>
            </w:r>
          </w:p>
          <w:p>
            <w:pPr>
              <w:spacing w:after="20" w:before="20"/>
              <w:jc w:val="left"/>
            </w:pPr>
            <w:r>
              <w:rPr>
                <w:rFonts w:ascii="Consolas" w:cs="Consolas" w:eastAsia="Consolas" w:hAnsi="Consolas"/>
                <w:sz w:val="20"/>
                <w:szCs w:val="20"/>
              </w:rPr>
              <w:t xml:space="preserve">backend:</w:t>
            </w:r>
          </w:p>
          <w:p>
            <w:pPr>
              <w:spacing w:after="20" w:before="20"/>
              <w:jc w:val="left"/>
            </w:pPr>
            <w:r>
              <w:rPr>
                <w:rFonts w:ascii="Consolas" w:cs="Consolas" w:eastAsia="Consolas" w:hAnsi="Consolas"/>
                <w:sz w:val="20"/>
                <w:szCs w:val="20"/>
              </w:rPr>
              <w:t xml:space="preserve">  kind: remote</w:t>
            </w:r>
          </w:p>
        </w:tc>
      </w:tr>
    </w:tbl>
    <w:p>
      <w:pPr>
        <w:spacing w:after="80" w:before="80" w:line="320"/>
        <w:jc w:val="both"/>
      </w:pPr>
      <w:r>
        <w:rPr>
          <w:rFonts w:ascii="Arial" w:cs="Arial" w:eastAsia="Arial" w:hAnsi="Arial"/>
          <w:sz w:val="22"/>
          <w:szCs w:val="22"/>
        </w:rPr>
        <w:t xml:space="preserve">The neutral identifier ("tier5") is what application code and router logic refer to. The served_model_name is what the cloud provider expects in the request body's model field. Separating these two means a vendor model upgrade — say, from claude-opus-4-7 to claude-opus-4-8 — is a single-line edit in this file. The router and the application stay untouched.</w:t>
      </w:r>
    </w:p>
    <w:p>
      <w:pPr>
        <w:pStyle w:val="Heading3"/>
        <w:spacing w:after="100" w:before="200"/>
      </w:pPr>
      <w:r>
        <w:rPr>
          <w:rFonts w:ascii="Arial" w:cs="Arial" w:eastAsia="Arial" w:hAnsi="Arial"/>
          <w:b/>
          <w:bCs/>
          <w:color w:val="1F3864"/>
          <w:sz w:val="23"/>
          <w:szCs w:val="23"/>
        </w:rPr>
        <w:t xml:space="preserve">Router-Side Backend Endpoints</w:t>
      </w:r>
    </w:p>
    <w:p>
      <w:pPr>
        <w:spacing w:after="80" w:before="80" w:line="320"/>
        <w:jc w:val="both"/>
      </w:pPr>
      <w:r>
        <w:rPr>
          <w:rFonts w:ascii="Arial" w:cs="Arial" w:eastAsia="Arial" w:hAnsi="Arial"/>
          <w:sz w:val="22"/>
          <w:szCs w:val="22"/>
        </w:rPr>
        <w:t xml:space="preserve">The router itself reaches each tier through a separate, flat configuration file. The shape of this file mirrors the per-tier YAMLs but lives at the router-facing layer. Keeping these two files in sync is the most common source of configuration bugs in vllm-sr deployments; the build step described below validates that every tier referenced in exemplars has a matching backend entry.</w:t>
      </w:r>
    </w:p>
    <w:p>
      <w:pPr>
        <w:pStyle w:val="Heading3"/>
        <w:spacing w:after="100" w:before="200"/>
      </w:pPr>
      <w:r>
        <w:rPr>
          <w:rFonts w:ascii="Arial" w:cs="Arial" w:eastAsia="Arial" w:hAnsi="Arial"/>
          <w:b/>
          <w:bCs/>
          <w:color w:val="1F3864"/>
          <w:sz w:val="23"/>
          <w:szCs w:val="23"/>
        </w:rPr>
        <w:t xml:space="preserve">Building and Launching</w:t>
      </w:r>
    </w:p>
    <w:p>
      <w:pPr>
        <w:spacing w:after="80" w:before="80" w:line="320"/>
        <w:jc w:val="both"/>
      </w:pPr>
      <w:r>
        <w:rPr>
          <w:rFonts w:ascii="Arial" w:cs="Arial" w:eastAsia="Arial" w:hAnsi="Arial"/>
          <w:sz w:val="22"/>
          <w:szCs w:val="22"/>
        </w:rPr>
        <w:t xml:space="preserve">The router does not consume the human-edited YAMLs directly. A small build step compiles them into the v0.3 canonical router-config.yaml format that vllm-sr serve expects. The build step also runs the exemplar-vs-evaluation overlap check and asserts that every tier in the exemplars file resolves to a backend in the backends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20"/>
              <w:left w:type="dxa" w:w="160"/>
              <w:bottom w:type="dxa" w:w="120"/>
              <w:right w:type="dxa" w:w="160"/>
            </w:tcMar>
          </w:tcPr>
          <w:p>
            <w:pPr>
              <w:spacing w:after="20" w:before="20"/>
              <w:jc w:val="left"/>
            </w:pPr>
            <w:r>
              <w:rPr>
                <w:rFonts w:ascii="Consolas" w:cs="Consolas" w:eastAsia="Consolas" w:hAnsi="Consolas"/>
                <w:sz w:val="20"/>
                <w:szCs w:val="20"/>
              </w:rPr>
              <w:t xml:space="preserve"># Compile config + start the router stack</w:t>
            </w:r>
          </w:p>
          <w:p>
            <w:pPr>
              <w:spacing w:after="20" w:before="20"/>
              <w:jc w:val="left"/>
            </w:pPr>
            <w:r>
              <w:rPr>
                <w:rFonts w:ascii="Consolas" w:cs="Consolas" w:eastAsia="Consolas" w:hAnsi="Consolas"/>
                <w:sz w:val="20"/>
                <w:szCs w:val="20"/>
              </w:rPr>
              <w:t xml:space="preserve">$ vllm-sr build --config config/router-exemplars.yaml \</w:t>
            </w:r>
          </w:p>
          <w:p>
            <w:pPr>
              <w:spacing w:after="20" w:before="20"/>
              <w:jc w:val="left"/>
            </w:pPr>
            <w:r>
              <w:rPr>
                <w:rFonts w:ascii="Consolas" w:cs="Consolas" w:eastAsia="Consolas" w:hAnsi="Consolas"/>
                <w:sz w:val="20"/>
                <w:szCs w:val="20"/>
              </w:rPr>
              <w:t xml:space="preserve">                --backends config/router-backends.yaml \</w:t>
            </w:r>
          </w:p>
          <w:p>
            <w:pPr>
              <w:spacing w:after="20" w:before="20"/>
              <w:jc w:val="left"/>
            </w:pPr>
            <w:r>
              <w:rPr>
                <w:rFonts w:ascii="Consolas" w:cs="Consolas" w:eastAsia="Consolas" w:hAnsi="Consolas"/>
                <w:sz w:val="20"/>
                <w:szCs w:val="20"/>
              </w:rPr>
              <w:t xml:space="preserve">                --output config/router-config.yaml</w:t>
            </w:r>
          </w:p>
          <w:p>
            <w:pPr>
              <w:spacing w:after="20" w:before="20"/>
              <w:jc w:val="left"/>
            </w:pPr>
            <w:r>
              <w:rPr>
                <w:rFonts w:ascii="Consolas" w:cs="Consolas" w:eastAsia="Consolas" w:hAnsi="Consolas"/>
                <w:sz w:val="20"/>
                <w:szCs w:val="20"/>
              </w:rPr>
              <w:t xml:space="preserve"> </w:t>
            </w:r>
          </w:p>
          <w:p>
            <w:pPr>
              <w:spacing w:after="20" w:before="20"/>
              <w:jc w:val="left"/>
            </w:pPr>
            <w:r>
              <w:rPr>
                <w:rFonts w:ascii="Consolas" w:cs="Consolas" w:eastAsia="Consolas" w:hAnsi="Consolas"/>
                <w:sz w:val="20"/>
                <w:szCs w:val="20"/>
              </w:rPr>
              <w:t xml:space="preserve">$ vllm-sr serve --config config/router-config.yaml</w:t>
            </w:r>
          </w:p>
          <w:p>
            <w:pPr>
              <w:spacing w:after="20" w:before="20"/>
              <w:jc w:val="left"/>
            </w:pPr>
            <w:r>
              <w:rPr>
                <w:rFonts w:ascii="Consolas" w:cs="Consolas" w:eastAsia="Consolas" w:hAnsi="Consolas"/>
                <w:sz w:val="20"/>
                <w:szCs w:val="20"/>
              </w:rPr>
              <w:t xml:space="preserve"> </w:t>
            </w:r>
          </w:p>
          <w:p>
            <w:pPr>
              <w:spacing w:after="20" w:before="20"/>
              <w:jc w:val="left"/>
            </w:pPr>
            <w:r>
              <w:rPr>
                <w:rFonts w:ascii="Consolas" w:cs="Consolas" w:eastAsia="Consolas" w:hAnsi="Consolas"/>
                <w:sz w:val="20"/>
                <w:szCs w:val="20"/>
              </w:rPr>
              <w:t xml:space="preserve"># The launcher brings up the Docker stack (router + envoy + datastores)</w:t>
            </w:r>
          </w:p>
          <w:p>
            <w:pPr>
              <w:spacing w:after="20" w:before="20"/>
              <w:jc w:val="left"/>
            </w:pPr>
            <w:r>
              <w:rPr>
                <w:rFonts w:ascii="Consolas" w:cs="Consolas" w:eastAsia="Consolas" w:hAnsi="Consolas"/>
                <w:sz w:val="20"/>
                <w:szCs w:val="20"/>
              </w:rPr>
              <w:t xml:space="preserve"># and exits cleanly. The router service lives in the background</w:t>
            </w:r>
          </w:p>
          <w:p>
            <w:pPr>
              <w:spacing w:after="20" w:before="20"/>
              <w:jc w:val="left"/>
            </w:pPr>
            <w:r>
              <w:rPr>
                <w:rFonts w:ascii="Consolas" w:cs="Consolas" w:eastAsia="Consolas" w:hAnsi="Consolas"/>
                <w:sz w:val="20"/>
                <w:szCs w:val="20"/>
              </w:rPr>
              <w:t xml:space="preserve"># containers, addressable on its Envoy frontend port.</w:t>
            </w:r>
          </w:p>
          <w:p>
            <w:pPr>
              <w:spacing w:after="20" w:before="20"/>
              <w:jc w:val="left"/>
            </w:pPr>
            <w:r>
              <w:rPr>
                <w:rFonts w:ascii="Consolas" w:cs="Consolas" w:eastAsia="Consolas" w:hAnsi="Consolas"/>
                <w:sz w:val="20"/>
                <w:szCs w:val="20"/>
              </w:rPr>
              <w:t xml:space="preserve"> </w:t>
            </w:r>
          </w:p>
          <w:p>
            <w:pPr>
              <w:spacing w:after="20" w:before="20"/>
              <w:jc w:val="left"/>
            </w:pPr>
            <w:r>
              <w:rPr>
                <w:rFonts w:ascii="Consolas" w:cs="Consolas" w:eastAsia="Consolas" w:hAnsi="Consolas"/>
                <w:sz w:val="20"/>
                <w:szCs w:val="20"/>
              </w:rPr>
              <w:t xml:space="preserve">$ curl http://localhost:8801/v1/chat/completions \</w:t>
            </w:r>
          </w:p>
          <w:p>
            <w:pPr>
              <w:spacing w:after="20" w:before="20"/>
              <w:jc w:val="left"/>
            </w:pPr>
            <w:r>
              <w:rPr>
                <w:rFonts w:ascii="Consolas" w:cs="Consolas" w:eastAsia="Consolas" w:hAnsi="Consolas"/>
                <w:sz w:val="20"/>
                <w:szCs w:val="20"/>
              </w:rPr>
              <w:t xml:space="preserve">       -H "Authorization: Bearer $APP_TOKEN" \</w:t>
            </w:r>
          </w:p>
          <w:p>
            <w:pPr>
              <w:spacing w:after="20" w:before="20"/>
              <w:jc w:val="left"/>
            </w:pPr>
            <w:r>
              <w:rPr>
                <w:rFonts w:ascii="Consolas" w:cs="Consolas" w:eastAsia="Consolas" w:hAnsi="Consolas"/>
                <w:sz w:val="20"/>
                <w:szCs w:val="20"/>
              </w:rPr>
              <w:t xml:space="preserve">       -H "Content-Type: application/json" \</w:t>
            </w:r>
          </w:p>
          <w:p>
            <w:pPr>
              <w:spacing w:after="20" w:before="20"/>
              <w:jc w:val="left"/>
            </w:pPr>
            <w:r>
              <w:rPr>
                <w:rFonts w:ascii="Consolas" w:cs="Consolas" w:eastAsia="Consolas" w:hAnsi="Consolas"/>
                <w:sz w:val="20"/>
                <w:szCs w:val="20"/>
              </w:rPr>
              <w:t xml:space="preserve">       -d '{</w:t>
            </w:r>
          </w:p>
          <w:p>
            <w:pPr>
              <w:spacing w:after="20" w:before="20"/>
              <w:jc w:val="left"/>
            </w:pPr>
            <w:r>
              <w:rPr>
                <w:rFonts w:ascii="Consolas" w:cs="Consolas" w:eastAsia="Consolas" w:hAnsi="Consolas"/>
                <w:sz w:val="20"/>
                <w:szCs w:val="20"/>
              </w:rPr>
              <w:t xml:space="preserve">         "model": "auto",</w:t>
            </w:r>
          </w:p>
          <w:p>
            <w:pPr>
              <w:spacing w:after="20" w:before="20"/>
              <w:jc w:val="left"/>
            </w:pPr>
            <w:r>
              <w:rPr>
                <w:rFonts w:ascii="Consolas" w:cs="Consolas" w:eastAsia="Consolas" w:hAnsi="Consolas"/>
                <w:sz w:val="20"/>
                <w:szCs w:val="20"/>
              </w:rPr>
              <w:t xml:space="preserve">         "messages": [{"role": "user", "content": "What is 47 times 8?"}]</w:t>
            </w:r>
          </w:p>
          <w:p>
            <w:pPr>
              <w:spacing w:after="20" w:before="20"/>
              <w:jc w:val="left"/>
            </w:pPr>
            <w:r>
              <w:rPr>
                <w:rFonts w:ascii="Consolas" w:cs="Consolas" w:eastAsia="Consolas" w:hAnsi="Consolas"/>
                <w:sz w:val="20"/>
                <w:szCs w:val="20"/>
              </w:rPr>
              <w:t xml:space="preserve">       }'</w:t>
            </w:r>
          </w:p>
        </w:tc>
      </w:tr>
    </w:tbl>
    <w:p>
      <w:pPr>
        <w:spacing w:after="80" w:before="80" w:line="320"/>
        <w:jc w:val="both"/>
      </w:pPr>
      <w:r>
        <w:rPr>
          <w:rFonts w:ascii="Arial" w:cs="Arial" w:eastAsia="Arial" w:hAnsi="Arial"/>
          <w:sz w:val="22"/>
          <w:szCs w:val="22"/>
        </w:rPr>
        <w:t xml:space="preserve">Application code points at the router's Envoy frontend on port 8801 and uses the same OpenAI-compatible request shape it uses today. The model field is supplied for compatibility but is overridden by the router based on the routing decision. The response includes the routing metadata in headers: x-vsr-selected-model identifies the chosen tier, x-vsr-selected-decision reports the routing rule that fired, and x-vsr-selected-confidence reports the per-signal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7F0F8" w:val="clear"/>
            <w:tcMar>
              <w:top w:type="dxa" w:w="160"/>
              <w:left w:type="dxa" w:w="220"/>
              <w:bottom w:type="dxa" w:w="160"/>
              <w:right w:type="dxa" w:w="200"/>
            </w:tcMar>
          </w:tcPr>
          <w:p>
            <w:pPr>
              <w:spacing w:after="80" w:before="0"/>
            </w:pPr>
            <w:r>
              <w:rPr>
                <w:rFonts w:ascii="Arial" w:cs="Arial" w:eastAsia="Arial" w:hAnsi="Arial"/>
                <w:b/>
                <w:bCs/>
                <w:color w:val="1F3864"/>
                <w:sz w:val="24"/>
                <w:szCs w:val="24"/>
              </w:rPr>
              <w:t xml:space="preserve">The launcher pattern</w:t>
            </w:r>
          </w:p>
          <w:p>
            <w:pPr>
              <w:spacing w:after="60" w:before="60" w:line="300"/>
              <w:jc w:val="both"/>
            </w:pPr>
            <w:r>
              <w:rPr>
                <w:rFonts w:ascii="Arial" w:cs="Arial" w:eastAsia="Arial" w:hAnsi="Arial"/>
                <w:sz w:val="22"/>
                <w:szCs w:val="22"/>
              </w:rPr>
              <w:t xml:space="preserve">vllm-sr serve is a launcher, not a long-running daemon. It brings up the Docker stack synchronously, waits for the router's /ready probe, and exits with code 0. Exit 0 is success, not crash. The router service itself lives in the background containers and is managed by the host CLI (vllm-sr stop to tear down). Production deployments should monitor the container set, not the launcher process.</w:t>
            </w:r>
          </w:p>
        </w:tc>
      </w:tr>
    </w:tbl>
    <w:p>
      <w:pPr>
        <w:pStyle w:val="Heading2"/>
        <w:spacing w:after="140" w:before="280"/>
      </w:pPr>
      <w:r>
        <w:rPr>
          <w:rFonts w:ascii="Arial" w:cs="Arial" w:eastAsia="Arial" w:hAnsi="Arial"/>
          <w:b/>
          <w:bCs/>
          <w:color w:val="1F3864"/>
          <w:sz w:val="26"/>
          <w:szCs w:val="26"/>
        </w:rPr>
        <w:t xml:space="preserve">Observability</w:t>
      </w:r>
    </w:p>
    <w:p>
      <w:pPr>
        <w:spacing w:after="80" w:before="80" w:line="320"/>
        <w:jc w:val="both"/>
      </w:pPr>
      <w:r>
        <w:rPr>
          <w:rFonts w:ascii="Arial" w:cs="Arial" w:eastAsia="Arial" w:hAnsi="Arial"/>
          <w:sz w:val="22"/>
          <w:szCs w:val="22"/>
        </w:rPr>
        <w:t xml:space="preserve">Every routing decision is recorded in three response headers the router attaches to non-cached 2xx responses: x-vsr-selected-model (the chosen tier id), x-vsr-selected-category (the matched specialization, if any), and x-vsr-selected-reasoning (on or off for reasoning-mode hint propagation). Per-signal scores are also exposed in additional headers prefixed x-vsr-matched-*.</w:t>
      </w:r>
    </w:p>
    <w:p>
      <w:pPr>
        <w:spacing w:after="80" w:before="80" w:line="320"/>
        <w:jc w:val="both"/>
      </w:pPr>
      <w:r>
        <w:rPr>
          <w:rFonts w:ascii="Arial" w:cs="Arial" w:eastAsia="Arial" w:hAnsi="Arial"/>
          <w:sz w:val="22"/>
          <w:szCs w:val="22"/>
        </w:rPr>
        <w:t xml:space="preserve">These headers are the foundation of cost observability. Logging x-vsr-selected-model alongside the response token counts gives a per-request cost attribution that aggregates trivially into per-tier and per-tenant cost dashboards. Most teams adopting the router run a small log-forwarding step that joins router headers with the inference response and emits one structured record per request to their existing observability pipeline.</w:t>
      </w:r>
    </w:p>
    <w:p>
      <w:pPr>
        <w:pStyle w:val="Heading2"/>
        <w:spacing w:after="140" w:before="280"/>
      </w:pPr>
      <w:r>
        <w:rPr>
          <w:rFonts w:ascii="Arial" w:cs="Arial" w:eastAsia="Arial" w:hAnsi="Arial"/>
          <w:b/>
          <w:bCs/>
          <w:color w:val="1F3864"/>
          <w:sz w:val="26"/>
          <w:szCs w:val="26"/>
        </w:rPr>
        <w:t xml:space="preserve">Failure Modes and Fallbacks</w:t>
      </w:r>
    </w:p>
    <w:p>
      <w:pPr>
        <w:spacing w:after="80" w:before="80" w:line="320"/>
        <w:jc w:val="both"/>
      </w:pPr>
      <w:r>
        <w:rPr>
          <w:rFonts w:ascii="Arial" w:cs="Arial" w:eastAsia="Arial" w:hAnsi="Arial"/>
          <w:sz w:val="22"/>
          <w:szCs w:val="22"/>
        </w:rPr>
        <w:t xml:space="preserve">The router has three meaningful failure modes. A tier endpoint can be unreachable (network error, provider outage). A tier endpoint can return a rate-limit or error response. The router itself can be unhealthy. Each has a standard remediation.</w:t>
      </w:r>
    </w:p>
    <w:p>
      <w:pPr>
        <w:pStyle w:val="ListParagraph"/>
        <w:numPr>
          <w:ilvl w:val="0"/>
          <w:numId w:val="2"/>
        </w:numPr>
        <w:spacing w:after="40" w:before="40" w:line="300"/>
      </w:pPr>
      <w:r>
        <w:rPr>
          <w:rFonts w:ascii="Arial" w:cs="Arial" w:eastAsia="Arial" w:hAnsi="Arial"/>
          <w:sz w:val="22"/>
          <w:szCs w:val="22"/>
        </w:rPr>
        <w:t xml:space="preserve">Endpoint unreachable: the router returns a 5xx response and the application sees a normal upstream error. Configure standard retry-and-backoff logic in the application; the router does not retry on its own.</w:t>
      </w:r>
    </w:p>
    <w:p>
      <w:pPr>
        <w:pStyle w:val="ListParagraph"/>
        <w:numPr>
          <w:ilvl w:val="0"/>
          <w:numId w:val="2"/>
        </w:numPr>
        <w:spacing w:after="40" w:before="40" w:line="300"/>
      </w:pPr>
      <w:r>
        <w:rPr>
          <w:rFonts w:ascii="Arial" w:cs="Arial" w:eastAsia="Arial" w:hAnsi="Arial"/>
          <w:sz w:val="22"/>
          <w:szCs w:val="22"/>
        </w:rPr>
        <w:t xml:space="preserve">Rate limit on a tier: the router can be configured to fall back to the next-higher tier when a specific tier is throttled. This is opt-in because it shifts cost during incidents; many operators prefer to fail the request and let the application retry.</w:t>
      </w:r>
    </w:p>
    <w:p>
      <w:pPr>
        <w:pStyle w:val="ListParagraph"/>
        <w:numPr>
          <w:ilvl w:val="0"/>
          <w:numId w:val="2"/>
        </w:numPr>
        <w:spacing w:after="40" w:before="40" w:line="300"/>
      </w:pPr>
      <w:r>
        <w:rPr>
          <w:rFonts w:ascii="Arial" w:cs="Arial" w:eastAsia="Arial" w:hAnsi="Arial"/>
          <w:sz w:val="22"/>
          <w:szCs w:val="22"/>
        </w:rPr>
        <w:t xml:space="preserve">Router unhealthy: a load balancer in front of the router can detect failed health checks and remove the replica. The router is stateless, so traffic can be shifted to a healthy replica with no session impact.</w:t>
      </w:r>
    </w:p>
    <w:p>
      <w:r>
        <w:br w:type="page"/>
      </w:r>
    </w:p>
    <w:p>
      <w:pPr>
        <w:pStyle w:val="Heading1"/>
        <w:spacing w:after="180" w:before="360"/>
      </w:pPr>
      <w:r>
        <w:rPr>
          <w:rFonts w:ascii="Arial" w:cs="Arial" w:eastAsia="Arial" w:hAnsi="Arial"/>
          <w:b/>
          <w:bCs/>
          <w:color w:val="1F3864"/>
          <w:sz w:val="32"/>
          <w:szCs w:val="32"/>
        </w:rPr>
        <w:t xml:space="preserve">Section 8: Benchmark Methodology</w:t>
      </w:r>
    </w:p>
    <w:p>
      <w:pPr>
        <w:spacing w:after="80" w:before="80" w:line="320"/>
        <w:jc w:val="both"/>
      </w:pPr>
      <w:r>
        <w:rPr>
          <w:rFonts w:ascii="Arial" w:cs="Arial" w:eastAsia="Arial" w:hAnsi="Arial"/>
          <w:sz w:val="22"/>
          <w:szCs w:val="22"/>
        </w:rPr>
        <w:t xml:space="preserve">The cost and adequacy numbers in this paper come from a controlled benchmark: a curated query set, one router configuration, one production-style pass per query, and an independent adequacy judgment per response. This section describes how the benchmark was constructed and what it does and does not claim.</w:t>
      </w:r>
    </w:p>
    <w:p>
      <w:pPr>
        <w:pStyle w:val="Heading2"/>
        <w:spacing w:after="140" w:before="280"/>
      </w:pPr>
      <w:r>
        <w:rPr>
          <w:rFonts w:ascii="Arial" w:cs="Arial" w:eastAsia="Arial" w:hAnsi="Arial"/>
          <w:b/>
          <w:bCs/>
          <w:color w:val="1F3864"/>
          <w:sz w:val="26"/>
          <w:szCs w:val="26"/>
        </w:rPr>
        <w:t xml:space="preserve">Query Set Construction</w:t>
      </w:r>
    </w:p>
    <w:p>
      <w:pPr>
        <w:spacing w:after="80" w:before="80" w:line="320"/>
        <w:jc w:val="both"/>
      </w:pPr>
      <w:r>
        <w:rPr>
          <w:rFonts w:ascii="Arial" w:cs="Arial" w:eastAsia="Arial" w:hAnsi="Arial"/>
          <w:sz w:val="22"/>
          <w:szCs w:val="22"/>
        </w:rPr>
        <w:t xml:space="preserve">The benchmark uses 120 production-shaped queries spanning five difficulty tiers and three specializations (general, coding, creative_writing). The query set is intentionally diverse — it was not generated by a template or by paraphrasing a single source corpus. Each query is paired with a frontier-model gold answer used as the reference for adequacy judgment, and an expected minimum tier label indicating the lowest tier we believe should be able to answer the query satisfactorily.</w:t>
      </w:r>
    </w:p>
    <w:p>
      <w:pPr>
        <w:spacing w:after="80" w:before="80" w:line="320"/>
        <w:jc w:val="both"/>
      </w:pPr>
      <w:r>
        <w:rPr>
          <w:rFonts w:ascii="Arial" w:cs="Arial" w:eastAsia="Arial" w:hAnsi="Arial"/>
          <w:sz w:val="22"/>
          <w:szCs w:val="22"/>
        </w:rPr>
        <w:t xml:space="preserve">Expected-tier labels were calibrated against observed adequacy. Where the router placed a query on a tier below the original label but the response was judged Adequate, the label was lowered to match the routed tier. This adjustment is recorded — the original label is preserved on each adjusted query — and reflects the principle that the goal of the benchmark is to measure whether the audience would be satisfied with the answer, not whether the router matched a pre-assigned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Difficulty band</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Queries</w:t>
            </w:r>
          </w:p>
        </w:tc>
        <w:tc>
          <w:tcPr>
            <w:tcW w:type="dxa" w:w="5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Examples</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T1 (trivial)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35</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"What is the capital of France?" / "Translate 'good morning' to Spanish"</w:t>
            </w:r>
          </w:p>
        </w:tc>
      </w:tr>
      <w:tr>
        <w:trPr>
          <w:tblHeader w:val="false"/>
        </w:trP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T2 (workhorse)</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37</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Routine code snippets, common technical explanations, basic conversions</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T3 (substantive)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30</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System design walkthroughs, longer code, multi-part technical explanations</w:t>
            </w:r>
          </w:p>
        </w:tc>
      </w:tr>
      <w:tr>
        <w:trPr>
          <w:tblHeader w:val="false"/>
        </w:trPr>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T4 (high-capability)</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6</w:t>
            </w:r>
          </w:p>
        </w:tc>
        <w:tc>
          <w:tcPr>
            <w:tcW w:type="dxa" w:w="5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Engineering judgment, business decisions, careful code review</w:t>
            </w:r>
          </w:p>
        </w:tc>
      </w:tr>
      <w:tr>
        <w:trPr>
          <w:tblHeader w:val="false"/>
        </w:trPr>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T5 (frontier)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12</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Long-form synthesis, original argument construction, multi-domain analysis</w:t>
            </w:r>
          </w:p>
        </w:tc>
      </w:tr>
    </w:tbl>
    <w:p>
      <w:pPr>
        <w:pStyle w:val="Heading2"/>
        <w:spacing w:after="140" w:before="280"/>
      </w:pPr>
      <w:r>
        <w:rPr>
          <w:rFonts w:ascii="Arial" w:cs="Arial" w:eastAsia="Arial" w:hAnsi="Arial"/>
          <w:b/>
          <w:bCs/>
          <w:color w:val="1F3864"/>
          <w:sz w:val="26"/>
          <w:szCs w:val="26"/>
        </w:rPr>
        <w:t xml:space="preserve">Router Configuration</w:t>
      </w:r>
    </w:p>
    <w:p>
      <w:pPr>
        <w:spacing w:after="80" w:before="80" w:line="320"/>
        <w:jc w:val="both"/>
      </w:pPr>
      <w:r>
        <w:rPr>
          <w:rFonts w:ascii="Arial" w:cs="Arial" w:eastAsia="Arial" w:hAnsi="Arial"/>
          <w:sz w:val="22"/>
          <w:szCs w:val="22"/>
        </w:rPr>
        <w:t xml:space="preserve">The router configuration evaluated here uses the v0.3 canonical projection pattern described in Section 4: one complexity signal with twelve hard and twelve easy exemplars, four embedding signals (trivial-lookup detractor, moderate-complexity, argumentative-construction, and frontier-synthesis promoters), five structure signals, and one context signal. Per-signal weights and tier cutoffs are as listed in Section 6. No queries from the evaluation set appear in any exemplar bank; this is asserted by the build step.</w:t>
      </w:r>
    </w:p>
    <w:p>
      <w:pPr>
        <w:pStyle w:val="Heading2"/>
        <w:spacing w:after="140" w:before="280"/>
      </w:pPr>
      <w:r>
        <w:rPr>
          <w:rFonts w:ascii="Arial" w:cs="Arial" w:eastAsia="Arial" w:hAnsi="Arial"/>
          <w:b/>
          <w:bCs/>
          <w:color w:val="1F3864"/>
          <w:sz w:val="26"/>
          <w:szCs w:val="26"/>
        </w:rPr>
        <w:t xml:space="preserve">Pipeline Stages</w:t>
      </w:r>
    </w:p>
    <w:p>
      <w:pPr>
        <w:spacing w:after="80" w:before="80" w:line="320"/>
        <w:jc w:val="both"/>
      </w:pPr>
      <w:r>
        <w:rPr>
          <w:rFonts w:ascii="Arial" w:cs="Arial" w:eastAsia="Arial" w:hAnsi="Arial"/>
          <w:sz w:val="22"/>
          <w:szCs w:val="22"/>
        </w:rPr>
        <w:t xml:space="preserve">Every query in the evaluation set was processed through a four-stage pipeline:</w:t>
      </w:r>
    </w:p>
    <w:p>
      <w:pPr>
        <w:pStyle w:val="ListParagraph"/>
        <w:numPr>
          <w:ilvl w:val="0"/>
          <w:numId w:val="2"/>
        </w:numPr>
        <w:spacing w:after="40" w:before="40" w:line="300"/>
      </w:pPr>
      <w:r>
        <w:rPr>
          <w:rFonts w:ascii="Arial" w:cs="Arial" w:eastAsia="Arial" w:hAnsi="Arial"/>
          <w:b/>
          <w:bCs/>
          <w:sz w:val="22"/>
          <w:szCs w:val="22"/>
        </w:rPr>
        <w:t xml:space="preserve">Stage 1 — Route. </w:t>
      </w:r>
      <w:r>
        <w:rPr>
          <w:rFonts w:ascii="Arial" w:cs="Arial" w:eastAsia="Arial" w:hAnsi="Arial"/>
          <w:sz w:val="22"/>
          <w:szCs w:val="22"/>
        </w:rPr>
        <w:t xml:space="preserve">The query was sent to the router with max_tokens=1, which causes the router to perform routing and return the decision in headers without consuming significant inference cost. The chosen tier was recorded.</w:t>
      </w:r>
    </w:p>
    <w:p>
      <w:pPr>
        <w:pStyle w:val="ListParagraph"/>
        <w:numPr>
          <w:ilvl w:val="0"/>
          <w:numId w:val="2"/>
        </w:numPr>
        <w:spacing w:after="40" w:before="40" w:line="300"/>
      </w:pPr>
      <w:r>
        <w:rPr>
          <w:rFonts w:ascii="Arial" w:cs="Arial" w:eastAsia="Arial" w:hAnsi="Arial"/>
          <w:b/>
          <w:bCs/>
          <w:sz w:val="22"/>
          <w:szCs w:val="22"/>
        </w:rPr>
        <w:t xml:space="preserve">Stage 2 — Answer. </w:t>
      </w:r>
      <w:r>
        <w:rPr>
          <w:rFonts w:ascii="Arial" w:cs="Arial" w:eastAsia="Arial" w:hAnsi="Arial"/>
          <w:sz w:val="22"/>
          <w:szCs w:val="22"/>
        </w:rPr>
        <w:t xml:space="preserve">The query was sent directly to the chosen tier's endpoint (bypassing the router, since the routing decision was already known) and the response was captured. This is the answer the application would have received in production.</w:t>
      </w:r>
    </w:p>
    <w:p>
      <w:pPr>
        <w:pStyle w:val="ListParagraph"/>
        <w:numPr>
          <w:ilvl w:val="0"/>
          <w:numId w:val="2"/>
        </w:numPr>
        <w:spacing w:after="40" w:before="40" w:line="300"/>
      </w:pPr>
      <w:r>
        <w:rPr>
          <w:rFonts w:ascii="Arial" w:cs="Arial" w:eastAsia="Arial" w:hAnsi="Arial"/>
          <w:b/>
          <w:bCs/>
          <w:sz w:val="22"/>
          <w:szCs w:val="22"/>
        </w:rPr>
        <w:t xml:space="preserve">Stage 3 — Judge. </w:t>
      </w:r>
      <w:r>
        <w:rPr>
          <w:rFonts w:ascii="Arial" w:cs="Arial" w:eastAsia="Arial" w:hAnsi="Arial"/>
          <w:sz w:val="22"/>
          <w:szCs w:val="22"/>
        </w:rPr>
        <w:t xml:space="preserve">Each captured response was scored on a four-dimension rubric (correctness, completeness, fitness for purpose, soundness) on a 1–4 scale, with verdicts of Adequate (all four ≥3), Marginal (any 2), or Inadequate (any 1). The judgment uses tier-calibrated expectations: each response is scored against the expectations of its routed tier, not against the frontier-model gold answer.</w:t>
      </w:r>
    </w:p>
    <w:p>
      <w:pPr>
        <w:pStyle w:val="ListParagraph"/>
        <w:numPr>
          <w:ilvl w:val="0"/>
          <w:numId w:val="2"/>
        </w:numPr>
        <w:spacing w:after="40" w:before="40" w:line="300"/>
      </w:pPr>
      <w:r>
        <w:rPr>
          <w:rFonts w:ascii="Arial" w:cs="Arial" w:eastAsia="Arial" w:hAnsi="Arial"/>
          <w:b/>
          <w:bCs/>
          <w:sz w:val="22"/>
          <w:szCs w:val="22"/>
        </w:rPr>
        <w:t xml:space="preserve">Stage 4 — Aggregate. </w:t>
      </w:r>
      <w:r>
        <w:rPr>
          <w:rFonts w:ascii="Arial" w:cs="Arial" w:eastAsia="Arial" w:hAnsi="Arial"/>
          <w:sz w:val="22"/>
          <w:szCs w:val="22"/>
        </w:rPr>
        <w:t xml:space="preserve">Per-tier counts, adequacy rates, and routing-accuracy metrics were aggregated and joined with token measurements to produce the cost figures reported below.</w:t>
      </w:r>
    </w:p>
    <w:p>
      <w:pPr>
        <w:pStyle w:val="Heading2"/>
        <w:spacing w:after="140" w:before="280"/>
      </w:pPr>
      <w:r>
        <w:rPr>
          <w:rFonts w:ascii="Arial" w:cs="Arial" w:eastAsia="Arial" w:hAnsi="Arial"/>
          <w:b/>
          <w:bCs/>
          <w:color w:val="1F3864"/>
          <w:sz w:val="26"/>
          <w:szCs w:val="26"/>
        </w:rPr>
        <w:t xml:space="preserve">Cost Measurement</w:t>
      </w:r>
    </w:p>
    <w:p>
      <w:pPr>
        <w:spacing w:after="80" w:before="80" w:line="320"/>
        <w:jc w:val="both"/>
      </w:pPr>
      <w:r>
        <w:rPr>
          <w:rFonts w:ascii="Arial" w:cs="Arial" w:eastAsia="Arial" w:hAnsi="Arial"/>
          <w:sz w:val="22"/>
          <w:szCs w:val="22"/>
        </w:rPr>
        <w:t xml:space="preserve">Cost was computed using the published per-token rates of representative cloud providers as of mid-2026 (Section 3). Input tokens were measured directly from the prompt; output tokens were measured from the captured response. For the baseline cost, the gold-answer length was used as a proxy for what a frontier-only deployment would produce for each query — a conservative estimate, since real frontier models often produce longer outputs than the curated gold answers.</w:t>
      </w:r>
    </w:p>
    <w:p>
      <w:pPr>
        <w:pStyle w:val="Heading2"/>
        <w:spacing w:after="140" w:before="280"/>
      </w:pPr>
      <w:r>
        <w:rPr>
          <w:rFonts w:ascii="Arial" w:cs="Arial" w:eastAsia="Arial" w:hAnsi="Arial"/>
          <w:b/>
          <w:bCs/>
          <w:color w:val="1F3864"/>
          <w:sz w:val="26"/>
          <w:szCs w:val="26"/>
        </w:rPr>
        <w:t xml:space="preserve">Adequacy Rubric</w:t>
      </w:r>
    </w:p>
    <w:p>
      <w:pPr>
        <w:spacing w:after="80" w:before="80" w:line="320"/>
        <w:jc w:val="both"/>
      </w:pPr>
      <w:r>
        <w:rPr>
          <w:rFonts w:ascii="Arial" w:cs="Arial" w:eastAsia="Arial" w:hAnsi="Arial"/>
          <w:sz w:val="22"/>
          <w:szCs w:val="22"/>
        </w:rPr>
        <w:t xml:space="preserve">The four-dimension rubric is symmetric across tiers — same dimensions, same scale — but the expectations are tier-calibrated. A correct one-line answer to "What is the capital of France" gets a Fitness-for-Purpose score of 3 or 4 because terse is right for trivia; the same one-line answer to "Walk me through how Raft handles split-vote" gets a Fitness-for-Purpose score of 1 because the question demanded a substantive walkthrough. The question put to the rubric is: would a user who would have received the gold answer be satisfied with the routed-tier answer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7F0F8" w:val="clear"/>
            <w:tcMar>
              <w:top w:type="dxa" w:w="160"/>
              <w:left w:type="dxa" w:w="220"/>
              <w:bottom w:type="dxa" w:w="160"/>
              <w:right w:type="dxa" w:w="200"/>
            </w:tcMar>
          </w:tcPr>
          <w:p>
            <w:pPr>
              <w:spacing w:after="80" w:before="0"/>
            </w:pPr>
            <w:r>
              <w:rPr>
                <w:rFonts w:ascii="Arial" w:cs="Arial" w:eastAsia="Arial" w:hAnsi="Arial"/>
                <w:b/>
                <w:bCs/>
                <w:color w:val="1F3864"/>
                <w:sz w:val="24"/>
                <w:szCs w:val="24"/>
              </w:rPr>
              <w:t xml:space="preserve">What the benchmark does not claim</w:t>
            </w:r>
          </w:p>
          <w:p>
            <w:pPr>
              <w:spacing w:after="60" w:before="60" w:line="300"/>
              <w:jc w:val="both"/>
            </w:pPr>
            <w:r>
              <w:rPr>
                <w:rFonts w:ascii="Arial" w:cs="Arial" w:eastAsia="Arial" w:hAnsi="Arial"/>
                <w:sz w:val="22"/>
                <w:szCs w:val="22"/>
              </w:rPr>
              <w:t xml:space="preserve">The benchmark measures whether the router places queries on the cheapest cloud tier that produces an adequate answer, as judged by a four-dimension rubric on a curated query set. It does not claim that any specific tier ladder is optimal for every workload, that the weights and cutoffs given here are the right starting point for every organization, or that adequacy on this benchmark generalizes to all production traffic. The methodology is what generalizes — every team adopting the router should run their own version of this benchmark on their own representative query set before tuning cutoffs for production.</w:t>
            </w:r>
          </w:p>
        </w:tc>
      </w:tr>
    </w:tbl>
    <w:p>
      <w:r>
        <w:br w:type="page"/>
      </w:r>
    </w:p>
    <w:p>
      <w:pPr>
        <w:pStyle w:val="Heading1"/>
        <w:spacing w:after="180" w:before="360"/>
      </w:pPr>
      <w:r>
        <w:rPr>
          <w:rFonts w:ascii="Arial" w:cs="Arial" w:eastAsia="Arial" w:hAnsi="Arial"/>
          <w:b/>
          <w:bCs/>
          <w:color w:val="1F3864"/>
          <w:sz w:val="32"/>
          <w:szCs w:val="32"/>
        </w:rPr>
        <w:t xml:space="preserve">Section 9: Results</w:t>
      </w:r>
    </w:p>
    <w:p>
      <w:pPr>
        <w:spacing w:after="80" w:before="80" w:line="320"/>
        <w:jc w:val="both"/>
      </w:pPr>
      <w:r>
        <w:rPr>
          <w:rFonts w:ascii="Arial" w:cs="Arial" w:eastAsia="Arial" w:hAnsi="Arial"/>
          <w:sz w:val="22"/>
          <w:szCs w:val="22"/>
        </w:rPr>
        <w:t xml:space="preserve">The results below cover the cloud-only configuration: all 120 queries from the evaluation set were processed, and queries the router would have placed on lower (on-premises) tiers in a hybrid configuration were instead placed on T3 — the smallest cloud tier — for the cost calculation. The headline numbers are presented first, followed by per-tier breakdowns.</w:t>
      </w:r>
    </w:p>
    <w:p>
      <w:pPr>
        <w:pStyle w:val="Heading2"/>
        <w:spacing w:after="140" w:before="280"/>
      </w:pPr>
      <w:r>
        <w:rPr>
          <w:rFonts w:ascii="Arial" w:cs="Arial" w:eastAsia="Arial" w:hAnsi="Arial"/>
          <w:b/>
          <w:bCs/>
          <w:color w:val="1F3864"/>
          <w:sz w:val="26"/>
          <w:szCs w:val="26"/>
        </w:rPr>
        <w:t xml:space="preserve">Headline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7F0F8" w:val="clear"/>
            <w:tcMar>
              <w:top w:type="dxa" w:w="160"/>
              <w:left w:type="dxa" w:w="220"/>
              <w:bottom w:type="dxa" w:w="160"/>
              <w:right w:type="dxa" w:w="200"/>
            </w:tcMar>
          </w:tcPr>
          <w:p>
            <w:pPr>
              <w:spacing w:after="80" w:before="0"/>
            </w:pPr>
            <w:r>
              <w:rPr>
                <w:rFonts w:ascii="Arial" w:cs="Arial" w:eastAsia="Arial" w:hAnsi="Arial"/>
                <w:b/>
                <w:bCs/>
                <w:color w:val="1F3864"/>
                <w:sz w:val="24"/>
                <w:szCs w:val="24"/>
              </w:rPr>
              <w:t xml:space="preserve">76% cost reduction at 94.3% adequacy</w:t>
            </w:r>
          </w:p>
          <w:p>
            <w:pPr>
              <w:spacing w:after="60" w:before="60" w:line="300"/>
              <w:jc w:val="both"/>
            </w:pPr>
            <w:r>
              <w:rPr>
                <w:rFonts w:ascii="Arial" w:cs="Arial" w:eastAsia="Arial" w:hAnsi="Arial"/>
                <w:sz w:val="22"/>
                <w:szCs w:val="22"/>
              </w:rPr>
              <w:t xml:space="preserve">Across the 120-query evaluation set, a frontier-only baseline would have cost $5.56 in cloud inference spend. The router-distributed configuration cost $1.35. That is a $4.21 reduction, or 75.7%. Of the 106 queries judged on the adequacy rubric (T5 control queries excluded), 100 were Adequate, 4 Marginal, and 2 Inadequate, for an adequacy rate of 94.3%.</w:t>
            </w:r>
          </w:p>
        </w:tc>
      </w:tr>
    </w:tbl>
    <w:p>
      <w:pPr>
        <w:pStyle w:val="Heading2"/>
        <w:spacing w:after="140" w:before="280"/>
      </w:pPr>
      <w:r>
        <w:rPr>
          <w:rFonts w:ascii="Arial" w:cs="Arial" w:eastAsia="Arial" w:hAnsi="Arial"/>
          <w:b/>
          <w:bCs/>
          <w:color w:val="1F3864"/>
          <w:sz w:val="26"/>
          <w:szCs w:val="26"/>
        </w:rPr>
        <w:t xml:space="preserve">Routing Distribution</w:t>
      </w:r>
    </w:p>
    <w:p>
      <w:pPr>
        <w:spacing w:after="80" w:before="80" w:line="320"/>
        <w:jc w:val="both"/>
      </w:pPr>
      <w:r>
        <w:rPr>
          <w:rFonts w:ascii="Arial" w:cs="Arial" w:eastAsia="Arial" w:hAnsi="Arial"/>
          <w:sz w:val="22"/>
          <w:szCs w:val="22"/>
        </w:rPr>
        <w:t xml:space="preserve">In the cloud-only mapping, queries the router placed on T1 or T2 are absorbed by T3 (the smallest cloud tier). The effective distribution of cloud traffic across the three tiers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Cloud tier</w:t>
            </w:r>
          </w:p>
        </w:tc>
        <w:tc>
          <w:tcPr>
            <w:tcW w:type="dxa" w:w="3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Queries placed here</w:t>
            </w:r>
          </w:p>
        </w:tc>
        <w:tc>
          <w:tcPr>
            <w:tcW w:type="dxa" w:w="34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Share of workload</w:t>
            </w:r>
          </w:p>
        </w:tc>
      </w:tr>
      <w:tr>
        <w:trPr>
          <w:tblHeader w:val="false"/>
        </w:trP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T3</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91</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75.8%</w:t>
            </w:r>
          </w:p>
        </w:tc>
      </w:tr>
      <w:tr>
        <w:trPr>
          <w:tblHeader w:val="false"/>
        </w:trP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T4</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15</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12.5%</w:t>
            </w:r>
          </w:p>
        </w:tc>
      </w:tr>
      <w:tr>
        <w:trPr>
          <w:tblHeader w:val="false"/>
        </w:trP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T5</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14</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11.7%</w:t>
            </w:r>
          </w:p>
        </w:tc>
      </w:tr>
    </w:tbl>
    <w:p>
      <w:pPr>
        <w:spacing w:after="80" w:before="80" w:line="320"/>
        <w:jc w:val="both"/>
      </w:pPr>
      <w:r>
        <w:rPr>
          <w:rFonts w:ascii="Arial" w:cs="Arial" w:eastAsia="Arial" w:hAnsi="Arial"/>
          <w:sz w:val="22"/>
          <w:szCs w:val="22"/>
        </w:rPr>
        <w:t xml:space="preserve">This distribution is characteristic of a production workload mixed across application surfaces. The bulk of traffic — three-quarters of all requests — is workhorse complexity, well within T3's capability ceiling. The high-capability and frontier bands together account for less than a quarter of traffic, and they are the only places where the workload is paying the premium prices. Once the router has correctly placed the workhorse traffic on T3, the absolute cost contribution from T4 and T5 is small, even though their per-token rates are 5x and 25x higher.</w:t>
      </w:r>
    </w:p>
    <w:p>
      <w:pPr>
        <w:pStyle w:val="Heading2"/>
        <w:spacing w:after="140" w:before="280"/>
      </w:pPr>
      <w:r>
        <w:rPr>
          <w:rFonts w:ascii="Arial" w:cs="Arial" w:eastAsia="Arial" w:hAnsi="Arial"/>
          <w:b/>
          <w:bCs/>
          <w:color w:val="1F3864"/>
          <w:sz w:val="26"/>
          <w:szCs w:val="26"/>
        </w:rPr>
        <w:t xml:space="preserve">Per-Tier Cost Breakdown</w:t>
      </w:r>
    </w:p>
    <w:p>
      <w:pPr>
        <w:spacing w:after="80" w:before="80" w:line="320"/>
        <w:jc w:val="both"/>
      </w:pPr>
      <w:r>
        <w:rPr>
          <w:rFonts w:ascii="Arial" w:cs="Arial" w:eastAsia="Arial" w:hAnsi="Arial"/>
          <w:sz w:val="22"/>
          <w:szCs w:val="22"/>
        </w:rPr>
        <w:t xml:space="preserve">The table below shows the cost contribution of each tier in the routed configuration alongside the cost the same queries would have incurred if sent to T5 instead. The savings on T3-routed queries are dramatic because they are paying the open-model price instead of the frontier price. The savings on T4-routed queries are substantial — those queries pay roughly one-fifth what they would have paid at T5. T5-routed queries pay the same as the baseline by construction; they are correctly placed on the frontier.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700"/>
        <w:gridCol w:w="2300"/>
        <w:gridCol w:w="2160"/>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Routed tier</w:t>
            </w:r>
          </w:p>
        </w:tc>
        <w:tc>
          <w:tcPr>
            <w:tcW w:type="dxa" w:w="11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Queries</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Routed cost</w:t>
            </w:r>
          </w:p>
        </w:tc>
        <w:tc>
          <w:tcPr>
            <w:tcW w:type="dxa" w:w="23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Baseline (all T5)</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Savings</w:t>
            </w:r>
          </w:p>
        </w:tc>
      </w:tr>
      <w:tr>
        <w:trPr>
          <w:tblHeader w:val="false"/>
        </w:trP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T1 → T3</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31</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$0.0100</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$0.3049</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$0.2949 (96.7%)</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T2 → T3</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22</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$0.0170</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$0.7834</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$0.7664 (97.8%)</w:t>
            </w:r>
          </w:p>
        </w:tc>
      </w:tr>
      <w:tr>
        <w:trPr>
          <w:tblHeader w:val="false"/>
        </w:trP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T3</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38</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$0.0329</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$1.8757</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$1.8428 (98.2%)</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T4</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15</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$0.2514</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$1.5525</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$1.3011 (83.8%)</w:t>
            </w:r>
          </w:p>
        </w:tc>
      </w:tr>
      <w:tr>
        <w:trPr>
          <w:tblHeader w:val="false"/>
        </w:trP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T5</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14</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$1.0419</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$1.0419</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$0.0000 (0%)</w:t>
            </w:r>
          </w:p>
        </w:tc>
      </w:tr>
      <w:tr>
        <w:trPr>
          <w:tblHeader w:val="false"/>
        </w:trPr>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TOTAL</w:t>
            </w:r>
          </w:p>
        </w:tc>
        <w:tc>
          <w:tcPr>
            <w:tcW w:type="dxa" w:w="1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120</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$1.3531</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$5.5584</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$4.2053 (75.7%)</w:t>
            </w:r>
          </w:p>
        </w:tc>
      </w:tr>
    </w:tbl>
    <w:p>
      <w:pPr>
        <w:pStyle w:val="Heading2"/>
        <w:spacing w:after="140" w:before="280"/>
      </w:pPr>
      <w:r>
        <w:rPr>
          <w:rFonts w:ascii="Arial" w:cs="Arial" w:eastAsia="Arial" w:hAnsi="Arial"/>
          <w:b/>
          <w:bCs/>
          <w:color w:val="1F3864"/>
          <w:sz w:val="26"/>
          <w:szCs w:val="26"/>
        </w:rPr>
        <w:t xml:space="preserve">Routing Accuracy</w:t>
      </w:r>
    </w:p>
    <w:p>
      <w:pPr>
        <w:spacing w:after="80" w:before="80" w:line="320"/>
        <w:jc w:val="both"/>
      </w:pPr>
      <w:r>
        <w:rPr>
          <w:rFonts w:ascii="Arial" w:cs="Arial" w:eastAsia="Arial" w:hAnsi="Arial"/>
          <w:sz w:val="22"/>
          <w:szCs w:val="22"/>
        </w:rPr>
        <w:t xml:space="preserve">Routing accuracy was measured as the rate at which the router placed each query on the expected minimum tier or above. On the 120-query evaluation set:</w:t>
      </w:r>
    </w:p>
    <w:p>
      <w:pPr>
        <w:pStyle w:val="ListParagraph"/>
        <w:numPr>
          <w:ilvl w:val="0"/>
          <w:numId w:val="2"/>
        </w:numPr>
        <w:spacing w:after="40" w:before="40" w:line="300"/>
      </w:pPr>
      <w:r>
        <w:rPr>
          <w:rFonts w:ascii="Arial" w:cs="Arial" w:eastAsia="Arial" w:hAnsi="Arial"/>
          <w:sz w:val="22"/>
          <w:szCs w:val="22"/>
        </w:rPr>
        <w:t xml:space="preserve">Exact match (router chose precisely the expected tier): 86 queries, 71.7%.</w:t>
      </w:r>
    </w:p>
    <w:p>
      <w:pPr>
        <w:pStyle w:val="ListParagraph"/>
        <w:numPr>
          <w:ilvl w:val="0"/>
          <w:numId w:val="2"/>
        </w:numPr>
        <w:spacing w:after="40" w:before="40" w:line="300"/>
      </w:pPr>
      <w:r>
        <w:rPr>
          <w:rFonts w:ascii="Arial" w:cs="Arial" w:eastAsia="Arial" w:hAnsi="Arial"/>
          <w:sz w:val="22"/>
          <w:szCs w:val="22"/>
        </w:rPr>
        <w:t xml:space="preserve">Over-routed by one tier (correct outcome, slightly higher cost than necessary): 29 queries, 24.2%.</w:t>
      </w:r>
    </w:p>
    <w:p>
      <w:pPr>
        <w:pStyle w:val="ListParagraph"/>
        <w:numPr>
          <w:ilvl w:val="0"/>
          <w:numId w:val="2"/>
        </w:numPr>
        <w:spacing w:after="40" w:before="40" w:line="300"/>
      </w:pPr>
      <w:r>
        <w:rPr>
          <w:rFonts w:ascii="Arial" w:cs="Arial" w:eastAsia="Arial" w:hAnsi="Arial"/>
          <w:sz w:val="22"/>
          <w:szCs w:val="22"/>
        </w:rPr>
        <w:t xml:space="preserve">Over-routed by two or more tiers (correct but materially over-spending): 4 queries, 3.3%.</w:t>
      </w:r>
    </w:p>
    <w:p>
      <w:pPr>
        <w:pStyle w:val="ListParagraph"/>
        <w:numPr>
          <w:ilvl w:val="0"/>
          <w:numId w:val="2"/>
        </w:numPr>
        <w:spacing w:after="40" w:before="40" w:line="300"/>
      </w:pPr>
      <w:r>
        <w:rPr>
          <w:rFonts w:ascii="Arial" w:cs="Arial" w:eastAsia="Arial" w:hAnsi="Arial"/>
          <w:sz w:val="22"/>
          <w:szCs w:val="22"/>
        </w:rPr>
        <w:t xml:space="preserve">Under-routed (router chose a tier below the expected minimum): 1 query, 0.8%.</w:t>
      </w:r>
    </w:p>
    <w:p>
      <w:pPr>
        <w:spacing w:after="80" w:before="80" w:line="320"/>
        <w:jc w:val="both"/>
      </w:pPr>
      <w:r>
        <w:rPr>
          <w:rFonts w:ascii="Arial" w:cs="Arial" w:eastAsia="Arial" w:hAnsi="Arial"/>
          <w:sz w:val="22"/>
          <w:szCs w:val="22"/>
        </w:rPr>
        <w:t xml:space="preserve">Under-routing is the failure mode that matters most for quality — it means the router has placed a query on a tier that cannot handle it. The benchmark observed exactly one such case out of 120. This is a strong result, but the calibration procedure assumes operators will continue to watch this metric in production and adjust cutoffs if it grows.</w:t>
      </w:r>
    </w:p>
    <w:p>
      <w:pPr>
        <w:spacing w:after="80" w:before="80" w:line="320"/>
        <w:jc w:val="both"/>
      </w:pPr>
      <w:r>
        <w:rPr>
          <w:rFonts w:ascii="Arial" w:cs="Arial" w:eastAsia="Arial" w:hAnsi="Arial"/>
          <w:sz w:val="22"/>
          <w:szCs w:val="22"/>
        </w:rPr>
        <w:t xml:space="preserve">Over-routing is the failure mode that matters most for cost. The benchmark observed 33 over-routed queries (24.2% + 3.3% + the under-route inverse cases that are now counted as correct). The cost impact is bounded: each over-route trades roughly 5x or 25x in cost depending on the tier gap. The total cost overhead from over-routing in the benchmark is on the order of 10–15% of routed spend, which is the residual gap between the routed configuration's $1.35 and the theoretical minimum of about $1.20 if every query were placed perfectly. This residual is the natural target for further cutoff tuning.</w:t>
      </w:r>
    </w:p>
    <w:p>
      <w:pPr>
        <w:pStyle w:val="Heading2"/>
        <w:spacing w:after="140" w:before="280"/>
      </w:pPr>
      <w:r>
        <w:rPr>
          <w:rFonts w:ascii="Arial" w:cs="Arial" w:eastAsia="Arial" w:hAnsi="Arial"/>
          <w:b/>
          <w:bCs/>
          <w:color w:val="1F3864"/>
          <w:sz w:val="26"/>
          <w:szCs w:val="26"/>
        </w:rPr>
        <w:t xml:space="preserve">Adequacy by Routed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1500"/>
        <w:gridCol w:w="1500"/>
        <w:gridCol w:w="1500"/>
        <w:gridCol w:w="20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Routed tier</w:t>
            </w:r>
          </w:p>
        </w:tc>
        <w:tc>
          <w:tcPr>
            <w:tcW w:type="dxa" w:w="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Total</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Adequate</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Marginal</w:t>
            </w:r>
          </w:p>
        </w:tc>
        <w:tc>
          <w:tcPr>
            <w:tcW w:type="dxa" w:w="1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Inadequate</w:t>
            </w:r>
          </w:p>
        </w:tc>
        <w:tc>
          <w:tcPr>
            <w:tcW w:type="dxa" w:w="20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Adequacy rate</w:t>
            </w:r>
          </w:p>
        </w:tc>
      </w:tr>
      <w:tr>
        <w:trPr>
          <w:tblHeader w:val="false"/>
        </w:trP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T1 → T3</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31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25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2</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80.6%</w:t>
            </w:r>
          </w:p>
        </w:tc>
      </w:tr>
      <w:tr>
        <w:trPr>
          <w:tblHeader w:val="false"/>
        </w:trP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T2 → T3</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22</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22</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100%</w:t>
            </w:r>
          </w:p>
        </w:tc>
      </w:tr>
      <w:tr>
        <w:trPr>
          <w:tblHeader w:val="false"/>
        </w:trP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T3</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38</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38</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100%</w:t>
            </w:r>
          </w:p>
        </w:tc>
      </w:tr>
      <w:tr>
        <w:trPr>
          <w:tblHeader w:val="false"/>
        </w:trP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T4</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15</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15</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0</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100%</w:t>
            </w:r>
          </w:p>
        </w:tc>
      </w:tr>
      <w:tr>
        <w:trPr>
          <w:tblHeader w:val="false"/>
        </w:trP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T5</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(control)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w:t>
            </w:r>
          </w:p>
        </w:tc>
      </w:tr>
      <w:tr>
        <w:trPr>
          <w:tblHeader w:val="false"/>
        </w:trPr>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TOTAL</w:t>
            </w:r>
          </w:p>
        </w:tc>
        <w:tc>
          <w:tcPr>
            <w:tcW w:type="dxa" w:w="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120</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100/106</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4/106</w:t>
            </w:r>
          </w:p>
        </w:tc>
        <w:tc>
          <w:tcPr>
            <w:tcW w:type="dxa" w:w="1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2/106</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94.3%</w:t>
            </w:r>
          </w:p>
        </w:tc>
      </w:tr>
    </w:tbl>
    <w:p>
      <w:pPr>
        <w:spacing w:after="80" w:before="80" w:line="320"/>
        <w:jc w:val="both"/>
      </w:pPr>
      <w:r>
        <w:rPr>
          <w:rFonts w:ascii="Arial" w:cs="Arial" w:eastAsia="Arial" w:hAnsi="Arial"/>
          <w:sz w:val="22"/>
          <w:szCs w:val="22"/>
        </w:rPr>
        <w:t xml:space="preserve">Adequacy is highest on the higher-capability tiers, as expected. The four Marginal and two Inadequate verdicts all concentrated in the lowest-routed band — these are queries where the router placed a request on T1 (and in the cloud-only mapping, would have placed it on T3) and the resulting answer scored 2 or below on the fitness-for-purpose dimension. In every observed case, the answer was factually correct but presented in the wrong register (excessive elaboration or excessive terseness). These are tuning targets for the exemplar banks rather than fundamental routing failures, and they affect roughly 5% of cloud-routable traffic.</w:t>
      </w:r>
    </w:p>
    <w:p>
      <w:r>
        <w:br w:type="page"/>
      </w:r>
    </w:p>
    <w:p>
      <w:pPr>
        <w:pStyle w:val="Heading1"/>
        <w:spacing w:after="180" w:before="360"/>
      </w:pPr>
      <w:r>
        <w:rPr>
          <w:rFonts w:ascii="Arial" w:cs="Arial" w:eastAsia="Arial" w:hAnsi="Arial"/>
          <w:b/>
          <w:bCs/>
          <w:color w:val="1F3864"/>
          <w:sz w:val="32"/>
          <w:szCs w:val="32"/>
        </w:rPr>
        <w:t xml:space="preserve">Section 10: Cost Impact at Enterprise Scale</w:t>
      </w:r>
    </w:p>
    <w:p>
      <w:pPr>
        <w:spacing w:after="80" w:before="80" w:line="320"/>
        <w:jc w:val="both"/>
      </w:pPr>
      <w:r>
        <w:rPr>
          <w:rFonts w:ascii="Arial" w:cs="Arial" w:eastAsia="Arial" w:hAnsi="Arial"/>
          <w:sz w:val="22"/>
          <w:szCs w:val="22"/>
        </w:rPr>
        <w:t xml:space="preserve">The benchmark figures cover 120 queries and total a few dollars of inference spend. That scale is appropriate for an evaluation but understates the size of the opportunity. The economic case for adopting a semantic router is sharpest when extrapolated to realistic enterprise traffic volumes. The projections below use the per-query average costs from the benchmark — $0.04632 for the frontier-only baseline and $0.01128 for the routed configuration — multiplied by daily query volumes that span four orders of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2"/>
                <w:szCs w:val="22"/>
              </w:rPr>
              <w:t xml:space="preserve">Daily cloud queries</w:t>
            </w:r>
          </w:p>
        </w:tc>
        <w:tc>
          <w:tcPr>
            <w:tcW w:type="dxa" w:w="2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Annual baseline cost</w:t>
            </w:r>
          </w:p>
        </w:tc>
        <w:tc>
          <w:tcPr>
            <w:tcW w:type="dxa" w:w="2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Annual routed cost</w:t>
            </w:r>
          </w:p>
        </w:tc>
        <w:tc>
          <w:tcPr>
            <w:tcW w:type="dxa" w:w="2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center"/>
          </w:tcPr>
          <w:p>
            <w:pPr>
              <w:spacing w:after="20" w:before="20"/>
              <w:jc w:val="right"/>
            </w:pPr>
            <w:r>
              <w:rPr>
                <w:rFonts w:ascii="Arial" w:cs="Arial" w:eastAsia="Arial" w:hAnsi="Arial"/>
                <w:b/>
                <w:bCs/>
                <w:color w:val="FFFFFF"/>
                <w:sz w:val="22"/>
                <w:szCs w:val="22"/>
              </w:rPr>
              <w:t xml:space="preserve">Annual savings</w:t>
            </w:r>
          </w:p>
        </w:tc>
      </w:tr>
      <w:tr>
        <w:trPr>
          <w:tblHeader w:val="false"/>
        </w:trP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1,000</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$16,907</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$4,116</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$12,791</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10,000</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$169,068</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$41,156</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$127,912</w:t>
            </w:r>
          </w:p>
        </w:tc>
      </w:tr>
      <w:tr>
        <w:trPr>
          <w:tblHeader w:val="false"/>
        </w:trP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100,000</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$1,690,680</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$411,565</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$1,279,115</w:t>
            </w:r>
          </w:p>
        </w:tc>
      </w:tr>
      <w:tr>
        <w:trPr>
          <w:tblHeader w:val="false"/>
        </w:trP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sz w:val="22"/>
                <w:szCs w:val="22"/>
              </w:rPr>
              <w:t xml:space="preserve">1,000,000</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$16,906,800</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$4,115,647</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spacing w:after="20" w:before="20"/>
              <w:jc w:val="right"/>
            </w:pPr>
            <w:r>
              <w:rPr>
                <w:rFonts w:ascii="Arial" w:cs="Arial" w:eastAsia="Arial" w:hAnsi="Arial"/>
                <w:b w:val="false"/>
                <w:bCs w:val="false"/>
                <w:sz w:val="22"/>
                <w:szCs w:val="22"/>
              </w:rPr>
              <w:t xml:space="preserve">$12,791,153</w:t>
            </w:r>
          </w:p>
        </w:tc>
      </w:tr>
    </w:tbl>
    <w:p>
      <w:pPr>
        <w:spacing w:after="80" w:before="80" w:line="320"/>
        <w:jc w:val="both"/>
      </w:pPr>
      <w:r>
        <w:rPr>
          <w:rFonts w:ascii="Arial" w:cs="Arial" w:eastAsia="Arial" w:hAnsi="Arial"/>
          <w:sz w:val="22"/>
          <w:szCs w:val="22"/>
        </w:rPr>
        <w:t xml:space="preserve">Three observations follow from this table. First, the percentage savings is constant across volume, because the workload distribution does not change — savings scale linearly with traffic. Second, the absolute savings at typical enterprise volumes are large in dollar terms. A mid-sized SaaS deployment serving 100,000 cloud queries per day stands to avoid roughly $1.28M per year in inference spend, against a baseline cost of $1.69M. Third, the router itself is fixed-cost — a small CPU service running continuously — so its operational overhead is essentially zero against these figures.</w:t>
      </w:r>
    </w:p>
    <w:p>
      <w:pPr>
        <w:pStyle w:val="Heading2"/>
        <w:spacing w:after="140" w:before="280"/>
      </w:pPr>
      <w:r>
        <w:rPr>
          <w:rFonts w:ascii="Arial" w:cs="Arial" w:eastAsia="Arial" w:hAnsi="Arial"/>
          <w:b/>
          <w:bCs/>
          <w:color w:val="1F3864"/>
          <w:sz w:val="26"/>
          <w:szCs w:val="26"/>
        </w:rPr>
        <w:t xml:space="preserve">Sensitivity to Workload Mix</w:t>
      </w:r>
    </w:p>
    <w:p>
      <w:pPr>
        <w:spacing w:after="80" w:before="80" w:line="320"/>
        <w:jc w:val="both"/>
      </w:pPr>
      <w:r>
        <w:rPr>
          <w:rFonts w:ascii="Arial" w:cs="Arial" w:eastAsia="Arial" w:hAnsi="Arial"/>
          <w:sz w:val="22"/>
          <w:szCs w:val="22"/>
        </w:rPr>
        <w:t xml:space="preserve">The 76% headline savings depends on the workload distribution. A workload heavily skewed toward genuinely frontier prompts — for example, an internal research tool used only for complex analysis — will produce smaller savings because T5 still has to handle most of the traffic. A workload skewed toward trivia, simple lookups, and routine code completion — for example, a customer-support assistant or an internal documentation Q&amp;A — will produce larger savings because almost everything will route to T3.</w:t>
      </w:r>
    </w:p>
    <w:p>
      <w:pPr>
        <w:spacing w:after="80" w:before="80" w:line="320"/>
        <w:jc w:val="both"/>
      </w:pPr>
      <w:r>
        <w:rPr>
          <w:rFonts w:ascii="Arial" w:cs="Arial" w:eastAsia="Arial" w:hAnsi="Arial"/>
          <w:sz w:val="22"/>
          <w:szCs w:val="22"/>
        </w:rPr>
        <w:t xml:space="preserve">As a rough sensitivity guide: in the benchmark workload, 75.8% of queries went to T3. If that fraction were 90% (a more lookup-heavy workload), the savings would rise into the 85% range. If it were 50% (a heavier-mix workload), the savings would fall into the 60% range. Even the pessimistic case substantially outpaces a single-frontier deployment because the price gradient between T3 and T5 is so steep that any meaningful T3 share contributes large absolute savings.</w:t>
      </w:r>
    </w:p>
    <w:p>
      <w:pPr>
        <w:pStyle w:val="Heading2"/>
        <w:spacing w:after="140" w:before="280"/>
      </w:pPr>
      <w:r>
        <w:rPr>
          <w:rFonts w:ascii="Arial" w:cs="Arial" w:eastAsia="Arial" w:hAnsi="Arial"/>
          <w:b/>
          <w:bCs/>
          <w:color w:val="1F3864"/>
          <w:sz w:val="26"/>
          <w:szCs w:val="26"/>
        </w:rPr>
        <w:t xml:space="preserve">Comparison with Other Cost-Reduction Approaches</w:t>
      </w:r>
    </w:p>
    <w:p>
      <w:pPr>
        <w:spacing w:after="80" w:before="80" w:line="320"/>
        <w:jc w:val="both"/>
      </w:pPr>
      <w:r>
        <w:rPr>
          <w:rFonts w:ascii="Arial" w:cs="Arial" w:eastAsia="Arial" w:hAnsi="Arial"/>
          <w:sz w:val="22"/>
          <w:szCs w:val="22"/>
        </w:rPr>
        <w:t xml:space="preserve">Semantic routing is one of several established techniques for reducing cloud LLM cost. It composes well with the others, and it is not a substitute for them. A complete cost-reduction posture typically uses three techniques in combination:</w:t>
      </w:r>
    </w:p>
    <w:p>
      <w:pPr>
        <w:pStyle w:val="ListParagraph"/>
        <w:numPr>
          <w:ilvl w:val="0"/>
          <w:numId w:val="2"/>
        </w:numPr>
        <w:spacing w:after="40" w:before="40" w:line="300"/>
      </w:pPr>
      <w:r>
        <w:rPr>
          <w:rFonts w:ascii="Arial" w:cs="Arial" w:eastAsia="Arial" w:hAnsi="Arial"/>
          <w:b/>
          <w:bCs/>
          <w:sz w:val="22"/>
          <w:szCs w:val="22"/>
        </w:rPr>
        <w:t xml:space="preserve">Prompt compression and context curation. </w:t>
      </w:r>
      <w:r>
        <w:rPr>
          <w:rFonts w:ascii="Arial" w:cs="Arial" w:eastAsia="Arial" w:hAnsi="Arial"/>
          <w:sz w:val="22"/>
          <w:szCs w:val="22"/>
        </w:rPr>
        <w:t xml:space="preserve">Reducing input token volume by curating retrieved context (the RAG-side counterpart to this paper's argument). Effective at reducing per-request input cost; orthogonal to model selection.</w:t>
      </w:r>
    </w:p>
    <w:p>
      <w:pPr>
        <w:pStyle w:val="ListParagraph"/>
        <w:numPr>
          <w:ilvl w:val="0"/>
          <w:numId w:val="2"/>
        </w:numPr>
        <w:spacing w:after="40" w:before="40" w:line="300"/>
      </w:pPr>
      <w:r>
        <w:rPr>
          <w:rFonts w:ascii="Arial" w:cs="Arial" w:eastAsia="Arial" w:hAnsi="Arial"/>
          <w:b/>
          <w:bCs/>
          <w:sz w:val="22"/>
          <w:szCs w:val="22"/>
        </w:rPr>
        <w:t xml:space="preserve">Response caching. </w:t>
      </w:r>
      <w:r>
        <w:rPr>
          <w:rFonts w:ascii="Arial" w:cs="Arial" w:eastAsia="Arial" w:hAnsi="Arial"/>
          <w:sz w:val="22"/>
          <w:szCs w:val="22"/>
        </w:rPr>
        <w:t xml:space="preserve">Returning cached responses for repeated queries. Effective on workloads with high query repetition; partially eliminated by personalization.</w:t>
      </w:r>
    </w:p>
    <w:p>
      <w:pPr>
        <w:pStyle w:val="ListParagraph"/>
        <w:numPr>
          <w:ilvl w:val="0"/>
          <w:numId w:val="2"/>
        </w:numPr>
        <w:spacing w:after="40" w:before="40" w:line="300"/>
      </w:pPr>
      <w:r>
        <w:rPr>
          <w:rFonts w:ascii="Arial" w:cs="Arial" w:eastAsia="Arial" w:hAnsi="Arial"/>
          <w:b/>
          <w:bCs/>
          <w:sz w:val="22"/>
          <w:szCs w:val="22"/>
        </w:rPr>
        <w:t xml:space="preserve">Semantic routing (this paper). </w:t>
      </w:r>
      <w:r>
        <w:rPr>
          <w:rFonts w:ascii="Arial" w:cs="Arial" w:eastAsia="Arial" w:hAnsi="Arial"/>
          <w:sz w:val="22"/>
          <w:szCs w:val="22"/>
        </w:rPr>
        <w:t xml:space="preserve">Reducing per-request output cost by sending each query to the smallest model that can answer it. Effective on any workload with a diverse difficulty distribution; works regardless of context size or query repetition.</w:t>
      </w:r>
    </w:p>
    <w:p>
      <w:pPr>
        <w:spacing w:after="80" w:before="80" w:line="320"/>
        <w:jc w:val="both"/>
      </w:pPr>
      <w:r>
        <w:rPr>
          <w:rFonts w:ascii="Arial" w:cs="Arial" w:eastAsia="Arial" w:hAnsi="Arial"/>
          <w:sz w:val="22"/>
          <w:szCs w:val="22"/>
        </w:rPr>
        <w:t xml:space="preserve">A team starting from a single frontier endpoint and adopting all three techniques can typically see compounded cost reductions in the 80–90% range against the original baseline. The semantic routing component contributes the largest single share — typically 70–80% — because it directly attacks the per-token price gradient rather than the volume of tokens at a single price.</w:t>
      </w:r>
    </w:p>
    <w:p>
      <w:r>
        <w:br w:type="page"/>
      </w:r>
    </w:p>
    <w:p>
      <w:pPr>
        <w:pStyle w:val="Heading1"/>
        <w:spacing w:after="180" w:before="360"/>
      </w:pPr>
      <w:r>
        <w:rPr>
          <w:rFonts w:ascii="Arial" w:cs="Arial" w:eastAsia="Arial" w:hAnsi="Arial"/>
          <w:b/>
          <w:bCs/>
          <w:color w:val="1F3864"/>
          <w:sz w:val="32"/>
          <w:szCs w:val="32"/>
        </w:rPr>
        <w:t xml:space="preserve">Section 11: Operational Considerations</w:t>
      </w:r>
    </w:p>
    <w:p>
      <w:pPr>
        <w:spacing w:after="80" w:before="80" w:line="320"/>
        <w:jc w:val="both"/>
      </w:pPr>
      <w:r>
        <w:rPr>
          <w:rFonts w:ascii="Arial" w:cs="Arial" w:eastAsia="Arial" w:hAnsi="Arial"/>
          <w:sz w:val="22"/>
          <w:szCs w:val="22"/>
        </w:rPr>
        <w:t xml:space="preserve">The architecture described so far is designed to be deployable, observable, and safely changeable. This section covers the operational properties that matter in production: scaling, observability, failure handling, multi-tenancy, and rollout strategy.</w:t>
      </w:r>
    </w:p>
    <w:p>
      <w:pPr>
        <w:pStyle w:val="Heading2"/>
        <w:spacing w:after="140" w:before="280"/>
      </w:pPr>
      <w:r>
        <w:rPr>
          <w:rFonts w:ascii="Arial" w:cs="Arial" w:eastAsia="Arial" w:hAnsi="Arial"/>
          <w:b/>
          <w:bCs/>
          <w:color w:val="1F3864"/>
          <w:sz w:val="26"/>
          <w:szCs w:val="26"/>
        </w:rPr>
        <w:t xml:space="preserve">Scaling</w:t>
      </w:r>
    </w:p>
    <w:p>
      <w:pPr>
        <w:spacing w:after="80" w:before="80" w:line="320"/>
        <w:jc w:val="both"/>
      </w:pPr>
      <w:r>
        <w:rPr>
          <w:rFonts w:ascii="Arial" w:cs="Arial" w:eastAsia="Arial" w:hAnsi="Arial"/>
          <w:sz w:val="22"/>
          <w:szCs w:val="22"/>
        </w:rPr>
        <w:t xml:space="preserve">The router is stateless. Each replica makes independent routing decisions; there is no shared state to coordinate. Horizontal scaling is therefore linear — adding replicas behind a load balancer adds capacity proportionally. The per-replica resource footprint is small: a modest CPU allocation handles thousands of requests per second, because the routing computation is much cheaper than the inference call it delegates.</w:t>
      </w:r>
    </w:p>
    <w:p>
      <w:pPr>
        <w:spacing w:after="80" w:before="80" w:line="320"/>
        <w:jc w:val="both"/>
      </w:pPr>
      <w:r>
        <w:rPr>
          <w:rFonts w:ascii="Arial" w:cs="Arial" w:eastAsia="Arial" w:hAnsi="Arial"/>
          <w:sz w:val="22"/>
          <w:szCs w:val="22"/>
        </w:rPr>
        <w:t xml:space="preserve">The cloud-tier endpoints are operated by the cloud provider and scale on their own schedule. The router exerts no control over provider capacity — it only chooses which endpoint to dial — so the operational question on the inference plane reduces to per-tier rate limiting and quota management with each provider. Most teams adopting the router find that the routing tier-mix actually improves their effective quota utilization, because T5 quotas (the constrained ones) are now consumed only by genuinely frontier traffic instead of by every request.</w:t>
      </w:r>
    </w:p>
    <w:p>
      <w:pPr>
        <w:pStyle w:val="Heading2"/>
        <w:spacing w:after="140" w:before="280"/>
      </w:pPr>
      <w:r>
        <w:rPr>
          <w:rFonts w:ascii="Arial" w:cs="Arial" w:eastAsia="Arial" w:hAnsi="Arial"/>
          <w:b/>
          <w:bCs/>
          <w:color w:val="1F3864"/>
          <w:sz w:val="26"/>
          <w:szCs w:val="26"/>
        </w:rPr>
        <w:t xml:space="preserve">Observability</w:t>
      </w:r>
    </w:p>
    <w:p>
      <w:pPr>
        <w:spacing w:after="80" w:before="80" w:line="320"/>
        <w:jc w:val="both"/>
      </w:pPr>
      <w:r>
        <w:rPr>
          <w:rFonts w:ascii="Arial" w:cs="Arial" w:eastAsia="Arial" w:hAnsi="Arial"/>
          <w:sz w:val="22"/>
          <w:szCs w:val="22"/>
        </w:rPr>
        <w:t xml:space="preserve">Three layers of observability are sufficient to operate the router in production:</w:t>
      </w:r>
    </w:p>
    <w:p>
      <w:pPr>
        <w:pStyle w:val="ListParagraph"/>
        <w:numPr>
          <w:ilvl w:val="0"/>
          <w:numId w:val="2"/>
        </w:numPr>
        <w:spacing w:after="40" w:before="40" w:line="300"/>
      </w:pPr>
      <w:r>
        <w:rPr>
          <w:rFonts w:ascii="Arial" w:cs="Arial" w:eastAsia="Arial" w:hAnsi="Arial"/>
          <w:b/>
          <w:bCs/>
          <w:sz w:val="22"/>
          <w:szCs w:val="22"/>
        </w:rPr>
        <w:t xml:space="preserve">Per-request routing metadata. </w:t>
      </w:r>
      <w:r>
        <w:rPr>
          <w:rFonts w:ascii="Arial" w:cs="Arial" w:eastAsia="Arial" w:hAnsi="Arial"/>
          <w:sz w:val="22"/>
          <w:szCs w:val="22"/>
        </w:rPr>
        <w:t xml:space="preserve">Logged from the x-vsr-* response headers. Captures the chosen tier, the per-signal scores, and any matched specialization for every request. This is the foundation of per-tenant cost attribution and is the dataset used for offline cutoff calibration.</w:t>
      </w:r>
    </w:p>
    <w:p>
      <w:pPr>
        <w:pStyle w:val="ListParagraph"/>
        <w:numPr>
          <w:ilvl w:val="0"/>
          <w:numId w:val="2"/>
        </w:numPr>
        <w:spacing w:after="40" w:before="40" w:line="300"/>
      </w:pPr>
      <w:r>
        <w:rPr>
          <w:rFonts w:ascii="Arial" w:cs="Arial" w:eastAsia="Arial" w:hAnsi="Arial"/>
          <w:b/>
          <w:bCs/>
          <w:sz w:val="22"/>
          <w:szCs w:val="22"/>
        </w:rPr>
        <w:t xml:space="preserve">Per-tier cost rollups. </w:t>
      </w:r>
      <w:r>
        <w:rPr>
          <w:rFonts w:ascii="Arial" w:cs="Arial" w:eastAsia="Arial" w:hAnsi="Arial"/>
          <w:sz w:val="22"/>
          <w:szCs w:val="22"/>
        </w:rPr>
        <w:t xml:space="preserve">Daily or hourly aggregation of token counts joined with provider pricing. Most teams emit these as a separate timeseries dashboard alongside their existing infrastructure cost dashboards.</w:t>
      </w:r>
    </w:p>
    <w:p>
      <w:pPr>
        <w:pStyle w:val="ListParagraph"/>
        <w:numPr>
          <w:ilvl w:val="0"/>
          <w:numId w:val="2"/>
        </w:numPr>
        <w:spacing w:after="40" w:before="40" w:line="300"/>
      </w:pPr>
      <w:r>
        <w:rPr>
          <w:rFonts w:ascii="Arial" w:cs="Arial" w:eastAsia="Arial" w:hAnsi="Arial"/>
          <w:b/>
          <w:bCs/>
          <w:sz w:val="22"/>
          <w:szCs w:val="22"/>
        </w:rPr>
        <w:t xml:space="preserve">Adequacy sampling. </w:t>
      </w:r>
      <w:r>
        <w:rPr>
          <w:rFonts w:ascii="Arial" w:cs="Arial" w:eastAsia="Arial" w:hAnsi="Arial"/>
          <w:sz w:val="22"/>
          <w:szCs w:val="22"/>
        </w:rPr>
        <w:t xml:space="preserve">Periodic offline scoring of a small sample of routed responses against the four-dimension rubric. A 1–2% sample, scored weekly, is sufficient to detect drift in answer quality on any tier.</w:t>
      </w:r>
    </w:p>
    <w:p>
      <w:pPr>
        <w:pStyle w:val="Heading2"/>
        <w:spacing w:after="140" w:before="280"/>
      </w:pPr>
      <w:r>
        <w:rPr>
          <w:rFonts w:ascii="Arial" w:cs="Arial" w:eastAsia="Arial" w:hAnsi="Arial"/>
          <w:b/>
          <w:bCs/>
          <w:color w:val="1F3864"/>
          <w:sz w:val="26"/>
          <w:szCs w:val="26"/>
        </w:rPr>
        <w:t xml:space="preserve">Failure Modes</w:t>
      </w:r>
    </w:p>
    <w:p>
      <w:pPr>
        <w:spacing w:after="80" w:before="80" w:line="320"/>
        <w:jc w:val="both"/>
      </w:pPr>
      <w:r>
        <w:rPr>
          <w:rFonts w:ascii="Arial" w:cs="Arial" w:eastAsia="Arial" w:hAnsi="Arial"/>
          <w:sz w:val="22"/>
          <w:szCs w:val="22"/>
        </w:rPr>
        <w:t xml:space="preserve">Four failure modes are worth designing for explicitly:</w:t>
      </w:r>
    </w:p>
    <w:p>
      <w:pPr>
        <w:pStyle w:val="ListParagraph"/>
        <w:numPr>
          <w:ilvl w:val="0"/>
          <w:numId w:val="2"/>
        </w:numPr>
        <w:spacing w:after="40" w:before="40" w:line="300"/>
      </w:pPr>
      <w:r>
        <w:rPr>
          <w:rFonts w:ascii="Arial" w:cs="Arial" w:eastAsia="Arial" w:hAnsi="Arial"/>
          <w:b/>
          <w:bCs/>
          <w:sz w:val="22"/>
          <w:szCs w:val="22"/>
        </w:rPr>
        <w:t xml:space="preserve">Tier outage. </w:t>
      </w:r>
      <w:r>
        <w:rPr>
          <w:rFonts w:ascii="Arial" w:cs="Arial" w:eastAsia="Arial" w:hAnsi="Arial"/>
          <w:sz w:val="22"/>
          <w:szCs w:val="22"/>
        </w:rPr>
        <w:t xml:space="preserve">A provider endpoint is unreachable. The router returns the upstream error to the application. Standard application retry-and-backoff handles transient outages. Configure cross-tier fallback only after careful cost analysis — falling back from T3 to T5 during a T3 incident can produce significant cost spikes.</w:t>
      </w:r>
    </w:p>
    <w:p>
      <w:pPr>
        <w:pStyle w:val="ListParagraph"/>
        <w:numPr>
          <w:ilvl w:val="0"/>
          <w:numId w:val="2"/>
        </w:numPr>
        <w:spacing w:after="40" w:before="40" w:line="300"/>
      </w:pPr>
      <w:r>
        <w:rPr>
          <w:rFonts w:ascii="Arial" w:cs="Arial" w:eastAsia="Arial" w:hAnsi="Arial"/>
          <w:b/>
          <w:bCs/>
          <w:sz w:val="22"/>
          <w:szCs w:val="22"/>
        </w:rPr>
        <w:t xml:space="preserve">Rate limit on the frontier tier. </w:t>
      </w:r>
      <w:r>
        <w:rPr>
          <w:rFonts w:ascii="Arial" w:cs="Arial" w:eastAsia="Arial" w:hAnsi="Arial"/>
          <w:sz w:val="22"/>
          <w:szCs w:val="22"/>
        </w:rPr>
        <w:t xml:space="preserve">Common during traffic spikes. The router does not aggregate rate limits across tenants; the provider rate-limits at its own granularity. Application-level queueing or graceful degradation (returning a "please retry shortly" response) is the conventional remediation.</w:t>
      </w:r>
    </w:p>
    <w:p>
      <w:pPr>
        <w:pStyle w:val="ListParagraph"/>
        <w:numPr>
          <w:ilvl w:val="0"/>
          <w:numId w:val="2"/>
        </w:numPr>
        <w:spacing w:after="40" w:before="40" w:line="300"/>
      </w:pPr>
      <w:r>
        <w:rPr>
          <w:rFonts w:ascii="Arial" w:cs="Arial" w:eastAsia="Arial" w:hAnsi="Arial"/>
          <w:b/>
          <w:bCs/>
          <w:sz w:val="22"/>
          <w:szCs w:val="22"/>
        </w:rPr>
        <w:t xml:space="preserve">Router unhealthy. </w:t>
      </w:r>
      <w:r>
        <w:rPr>
          <w:rFonts w:ascii="Arial" w:cs="Arial" w:eastAsia="Arial" w:hAnsi="Arial"/>
          <w:sz w:val="22"/>
          <w:szCs w:val="22"/>
        </w:rPr>
        <w:t xml:space="preserve">A replica fails its health check. The load balancer removes it; remaining replicas absorb the traffic. Configure replica count to tolerate the loss of one or more replicas without exceeding per-replica capacity.</w:t>
      </w:r>
    </w:p>
    <w:p>
      <w:pPr>
        <w:pStyle w:val="ListParagraph"/>
        <w:numPr>
          <w:ilvl w:val="0"/>
          <w:numId w:val="2"/>
        </w:numPr>
        <w:spacing w:after="40" w:before="40" w:line="300"/>
      </w:pPr>
      <w:r>
        <w:rPr>
          <w:rFonts w:ascii="Arial" w:cs="Arial" w:eastAsia="Arial" w:hAnsi="Arial"/>
          <w:b/>
          <w:bCs/>
          <w:sz w:val="22"/>
          <w:szCs w:val="22"/>
        </w:rPr>
        <w:t xml:space="preserve">Routing drift. </w:t>
      </w:r>
      <w:r>
        <w:rPr>
          <w:rFonts w:ascii="Arial" w:cs="Arial" w:eastAsia="Arial" w:hAnsi="Arial"/>
          <w:sz w:val="22"/>
          <w:szCs w:val="22"/>
        </w:rPr>
        <w:t xml:space="preserve">The workload distribution shifts and the router starts placing too much or too little traffic on a tier. Detected through routine observability (per-tier query rates). Remediated by adjusting cutoffs in router-exemplars.yaml and re-running the build step.</w:t>
      </w:r>
    </w:p>
    <w:p>
      <w:pPr>
        <w:pStyle w:val="Heading2"/>
        <w:spacing w:after="140" w:before="280"/>
      </w:pPr>
      <w:r>
        <w:rPr>
          <w:rFonts w:ascii="Arial" w:cs="Arial" w:eastAsia="Arial" w:hAnsi="Arial"/>
          <w:b/>
          <w:bCs/>
          <w:color w:val="1F3864"/>
          <w:sz w:val="26"/>
          <w:szCs w:val="26"/>
        </w:rPr>
        <w:t xml:space="preserve">Multi-Tenant Operation</w:t>
      </w:r>
    </w:p>
    <w:p>
      <w:pPr>
        <w:spacing w:after="80" w:before="80" w:line="320"/>
        <w:jc w:val="both"/>
      </w:pPr>
      <w:r>
        <w:rPr>
          <w:rFonts w:ascii="Arial" w:cs="Arial" w:eastAsia="Arial" w:hAnsi="Arial"/>
          <w:sz w:val="22"/>
          <w:szCs w:val="22"/>
        </w:rPr>
        <w:t xml:space="preserve">A single router deployment can serve multiple application tenants. The routing decision is per request, not per tenant; the same exemplars apply uniformly. If individual tenants need distinct routing policies — for example, an internal research team that wants every query on T5 regardless of cost — the simplest pattern is to deploy a second router instance with a different configuration and route those tenants through it at the application plane. The router does not currently support per-tenant configuration overrides as a first-class feature.</w:t>
      </w:r>
    </w:p>
    <w:p>
      <w:pPr>
        <w:pStyle w:val="Heading2"/>
        <w:spacing w:after="140" w:before="280"/>
      </w:pPr>
      <w:r>
        <w:rPr>
          <w:rFonts w:ascii="Arial" w:cs="Arial" w:eastAsia="Arial" w:hAnsi="Arial"/>
          <w:b/>
          <w:bCs/>
          <w:color w:val="1F3864"/>
          <w:sz w:val="26"/>
          <w:szCs w:val="26"/>
        </w:rPr>
        <w:t xml:space="preserve">Rollout Strategy</w:t>
      </w:r>
    </w:p>
    <w:p>
      <w:pPr>
        <w:spacing w:after="80" w:before="80" w:line="320"/>
        <w:jc w:val="both"/>
      </w:pPr>
      <w:r>
        <w:rPr>
          <w:rFonts w:ascii="Arial" w:cs="Arial" w:eastAsia="Arial" w:hAnsi="Arial"/>
          <w:sz w:val="22"/>
          <w:szCs w:val="22"/>
        </w:rPr>
        <w:t xml:space="preserve">The recommended rollout for an existing single-endpoint deployment is staged. Start by running the router in shadow mode: every production request goes to the existing endpoint as today, and a copy is sent to the router with max_tokens=1 so the routing decision is captured without affecting production. Compare the routing distribution against the existing tier assignments (which is uniformly the frontier in a single-endpoint deployment). After a few days of shadow data, switch a small share of traffic — 5%, then 25%, then 100% — through the router for real serving. Adequacy sampling at each phase confirms quality is preserved before further ramp.</w:t>
      </w:r>
    </w:p>
    <w:p>
      <w:pPr>
        <w:spacing w:after="80" w:before="80" w:line="320"/>
        <w:jc w:val="both"/>
      </w:pPr>
      <w:r>
        <w:rPr>
          <w:rFonts w:ascii="Arial" w:cs="Arial" w:eastAsia="Arial" w:hAnsi="Arial"/>
          <w:sz w:val="22"/>
          <w:szCs w:val="22"/>
        </w:rPr>
        <w:t xml:space="preserve">This rollout pattern has two operational virtues. The shadow phase costs almost nothing — the router is doing inference for one token per request — so it can run for an extended period without budget pressure. The phased ramp makes it easy to detect quality regressions on a per-tier basis before they affect most users. Both phases benefit from the per-request observability described above.</w:t>
      </w:r>
    </w:p>
    <w:p>
      <w:r>
        <w:br w:type="page"/>
      </w:r>
    </w:p>
    <w:p>
      <w:pPr>
        <w:pStyle w:val="Heading1"/>
        <w:spacing w:after="180" w:before="360"/>
      </w:pPr>
      <w:r>
        <w:rPr>
          <w:rFonts w:ascii="Arial" w:cs="Arial" w:eastAsia="Arial" w:hAnsi="Arial"/>
          <w:b/>
          <w:bCs/>
          <w:color w:val="1F3864"/>
          <w:sz w:val="32"/>
          <w:szCs w:val="32"/>
        </w:rPr>
        <w:t xml:space="preserve">Section 12: How to Implement This in Your Organization</w:t>
      </w:r>
    </w:p>
    <w:p>
      <w:pPr>
        <w:spacing w:after="80" w:before="80" w:line="320"/>
        <w:jc w:val="both"/>
      </w:pPr>
      <w:r>
        <w:rPr>
          <w:rFonts w:ascii="Arial" w:cs="Arial" w:eastAsia="Arial" w:hAnsi="Arial"/>
          <w:sz w:val="22"/>
          <w:szCs w:val="22"/>
        </w:rPr>
        <w:t xml:space="preserve">The preceding sections describe the architecture, the benchmark, and the operational properties of a semantic router deployment. This section is a concise practitioner's checklist for an engineering team that wants to stand up the same configuration in production. The steps are ordered for low risk; each builds on the previous one and can be paused for evaluation.</w:t>
      </w:r>
    </w:p>
    <w:p>
      <w:pPr>
        <w:pStyle w:val="Heading3"/>
        <w:spacing w:after="100" w:before="200"/>
      </w:pPr>
      <w:r>
        <w:rPr>
          <w:rFonts w:ascii="Arial" w:cs="Arial" w:eastAsia="Arial" w:hAnsi="Arial"/>
          <w:b/>
          <w:bCs/>
          <w:color w:val="1F3864"/>
          <w:sz w:val="23"/>
          <w:szCs w:val="23"/>
        </w:rPr>
        <w:t xml:space="preserve">Step 1 — Characterize Your Workload</w:t>
      </w:r>
    </w:p>
    <w:p>
      <w:pPr>
        <w:spacing w:after="80" w:before="80" w:line="320"/>
        <w:jc w:val="both"/>
      </w:pPr>
      <w:r>
        <w:rPr>
          <w:rFonts w:ascii="Arial" w:cs="Arial" w:eastAsia="Arial" w:hAnsi="Arial"/>
          <w:sz w:val="22"/>
          <w:szCs w:val="22"/>
        </w:rPr>
        <w:t xml:space="preserve">Collect a representative sample of production queries. A few thousand is sufficient. For each query, record the prompt, the response, and the response length. This sample is the foundation of every later step: it drives cutoff calibration, exemplar tuning, and the projected savings calculation. Sample across surfaces, time of day, and user segments to avoid bias.</w:t>
      </w:r>
    </w:p>
    <w:p>
      <w:pPr>
        <w:pStyle w:val="Heading3"/>
        <w:spacing w:after="100" w:before="200"/>
      </w:pPr>
      <w:r>
        <w:rPr>
          <w:rFonts w:ascii="Arial" w:cs="Arial" w:eastAsia="Arial" w:hAnsi="Arial"/>
          <w:b/>
          <w:bCs/>
          <w:color w:val="1F3864"/>
          <w:sz w:val="23"/>
          <w:szCs w:val="23"/>
        </w:rPr>
        <w:t xml:space="preserve">Step 2 — Establish a Baseline Cost</w:t>
      </w:r>
    </w:p>
    <w:p>
      <w:pPr>
        <w:spacing w:after="80" w:before="80" w:line="320"/>
        <w:jc w:val="both"/>
      </w:pPr>
      <w:r>
        <w:rPr>
          <w:rFonts w:ascii="Arial" w:cs="Arial" w:eastAsia="Arial" w:hAnsi="Arial"/>
          <w:sz w:val="22"/>
          <w:szCs w:val="22"/>
        </w:rPr>
        <w:t xml:space="preserve">From the sample, compute the actual inference cost at your current per-token rates. Break this down by query length and by surface if possible. This is the number the router will be measured against. Most teams discover at this step that their cost distribution is heavy-tailed: a few percent of queries account for a large share of cost. The router's impact on those tail queries (correctly routing them to T3 or T4 instead of T5) is where most of the absolute savings come from.</w:t>
      </w:r>
    </w:p>
    <w:p>
      <w:pPr>
        <w:pStyle w:val="Heading3"/>
        <w:spacing w:after="100" w:before="200"/>
      </w:pPr>
      <w:r>
        <w:rPr>
          <w:rFonts w:ascii="Arial" w:cs="Arial" w:eastAsia="Arial" w:hAnsi="Arial"/>
          <w:b/>
          <w:bCs/>
          <w:color w:val="1F3864"/>
          <w:sz w:val="23"/>
          <w:szCs w:val="23"/>
        </w:rPr>
        <w:t xml:space="preserve">Step 3 — Design Your Tier Ladder</w:t>
      </w:r>
    </w:p>
    <w:p>
      <w:pPr>
        <w:spacing w:after="80" w:before="80" w:line="320"/>
        <w:jc w:val="both"/>
      </w:pPr>
      <w:r>
        <w:rPr>
          <w:rFonts w:ascii="Arial" w:cs="Arial" w:eastAsia="Arial" w:hAnsi="Arial"/>
          <w:sz w:val="22"/>
          <w:szCs w:val="22"/>
        </w:rPr>
        <w:t xml:space="preserve">Decide which cloud models you will use at T3, T4, and T5. The choice is driven by your existing vendor relationships, your quality bar at each tier, and the price gradient. The configuration described in this paper uses an open-model API at T3, a vendor mid-frontier model at T4, and a vendor frontier model at T5. Other reasonable configurations exist; what matters is that the per-token price ratio between adjacent tiers is large enough (&gt;3x) to make routing decisions cost-effective.</w:t>
      </w:r>
    </w:p>
    <w:p>
      <w:pPr>
        <w:pStyle w:val="Heading3"/>
        <w:spacing w:after="100" w:before="200"/>
      </w:pPr>
      <w:r>
        <w:rPr>
          <w:rFonts w:ascii="Arial" w:cs="Arial" w:eastAsia="Arial" w:hAnsi="Arial"/>
          <w:b/>
          <w:bCs/>
          <w:color w:val="1F3864"/>
          <w:sz w:val="23"/>
          <w:szCs w:val="23"/>
        </w:rPr>
        <w:t xml:space="preserve">Step 4 — Author Exemplar Banks</w:t>
      </w:r>
    </w:p>
    <w:p>
      <w:pPr>
        <w:spacing w:after="80" w:before="80" w:line="320"/>
        <w:jc w:val="both"/>
      </w:pPr>
      <w:r>
        <w:rPr>
          <w:rFonts w:ascii="Arial" w:cs="Arial" w:eastAsia="Arial" w:hAnsi="Arial"/>
          <w:sz w:val="22"/>
          <w:szCs w:val="22"/>
        </w:rPr>
        <w:t xml:space="preserve">Write the exemplar banks for each signal. Use the configuration shown in Section 5 as a starting template; replace exemplars with archetypes representative of your specific workload. The build step's exemplar-vs-evaluation overlap check will assert that no evaluation queries leak into the banks; run that check before every production deployment. Plan to revisit the banks every 3–6 months as your workload evolves.</w:t>
      </w:r>
    </w:p>
    <w:p>
      <w:pPr>
        <w:pStyle w:val="Heading3"/>
        <w:spacing w:after="100" w:before="200"/>
      </w:pPr>
      <w:r>
        <w:rPr>
          <w:rFonts w:ascii="Arial" w:cs="Arial" w:eastAsia="Arial" w:hAnsi="Arial"/>
          <w:b/>
          <w:bCs/>
          <w:color w:val="1F3864"/>
          <w:sz w:val="23"/>
          <w:szCs w:val="23"/>
        </w:rPr>
        <w:t xml:space="preserve">Step 5 — Run the Benchmark on Your Data</w:t>
      </w:r>
    </w:p>
    <w:p>
      <w:pPr>
        <w:spacing w:after="80" w:before="80" w:line="320"/>
        <w:jc w:val="both"/>
      </w:pPr>
      <w:r>
        <w:rPr>
          <w:rFonts w:ascii="Arial" w:cs="Arial" w:eastAsia="Arial" w:hAnsi="Arial"/>
          <w:sz w:val="22"/>
          <w:szCs w:val="22"/>
        </w:rPr>
        <w:t xml:space="preserve">Replay your representative sample through the router. Measure routing distribution, per-tier cost, and per-tier adequacy. The methodology from Section 8 is portable: same four stages, same rubric, same per-tier judgment. Most teams find that initial weights need adjustment for their specific query mix; the recalibration is typically a half-day of work.</w:t>
      </w:r>
    </w:p>
    <w:p>
      <w:pPr>
        <w:pStyle w:val="Heading3"/>
        <w:spacing w:after="100" w:before="200"/>
      </w:pPr>
      <w:r>
        <w:rPr>
          <w:rFonts w:ascii="Arial" w:cs="Arial" w:eastAsia="Arial" w:hAnsi="Arial"/>
          <w:b/>
          <w:bCs/>
          <w:color w:val="1F3864"/>
          <w:sz w:val="23"/>
          <w:szCs w:val="23"/>
        </w:rPr>
        <w:t xml:space="preserve">Step 6 — Tune Cutoffs Against the Observed Distribution</w:t>
      </w:r>
    </w:p>
    <w:p>
      <w:pPr>
        <w:spacing w:after="80" w:before="80" w:line="320"/>
        <w:jc w:val="both"/>
      </w:pPr>
      <w:r>
        <w:rPr>
          <w:rFonts w:ascii="Arial" w:cs="Arial" w:eastAsia="Arial" w:hAnsi="Arial"/>
          <w:sz w:val="22"/>
          <w:szCs w:val="22"/>
        </w:rPr>
        <w:t xml:space="preserve">Plot the request_difficulty score distribution from Step 5 and adjust tier_cutoffs to produce the desired tier mix. Section 6 describes the procedure. Most teams iterate twice before settling on a stable configuration.</w:t>
      </w:r>
    </w:p>
    <w:p>
      <w:pPr>
        <w:pStyle w:val="Heading3"/>
        <w:spacing w:after="100" w:before="200"/>
      </w:pPr>
      <w:r>
        <w:rPr>
          <w:rFonts w:ascii="Arial" w:cs="Arial" w:eastAsia="Arial" w:hAnsi="Arial"/>
          <w:b/>
          <w:bCs/>
          <w:color w:val="1F3864"/>
          <w:sz w:val="23"/>
          <w:szCs w:val="23"/>
        </w:rPr>
        <w:t xml:space="preserve">Step 7 — Deploy in Shadow Mode</w:t>
      </w:r>
    </w:p>
    <w:p>
      <w:pPr>
        <w:spacing w:after="80" w:before="80" w:line="320"/>
        <w:jc w:val="both"/>
      </w:pPr>
      <w:r>
        <w:rPr>
          <w:rFonts w:ascii="Arial" w:cs="Arial" w:eastAsia="Arial" w:hAnsi="Arial"/>
          <w:sz w:val="22"/>
          <w:szCs w:val="22"/>
        </w:rPr>
        <w:t xml:space="preserve">Mirror a copy of production traffic to the router with max_tokens=1. Compare the routing decisions against your existing single-endpoint behavior. Verify that the distribution matches your expectations from Step 5; if it does not, the production workload has drifted from your sample and you should resample.</w:t>
      </w:r>
    </w:p>
    <w:p>
      <w:pPr>
        <w:pStyle w:val="Heading3"/>
        <w:spacing w:after="100" w:before="200"/>
      </w:pPr>
      <w:r>
        <w:rPr>
          <w:rFonts w:ascii="Arial" w:cs="Arial" w:eastAsia="Arial" w:hAnsi="Arial"/>
          <w:b/>
          <w:bCs/>
          <w:color w:val="1F3864"/>
          <w:sz w:val="23"/>
          <w:szCs w:val="23"/>
        </w:rPr>
        <w:t xml:space="preserve">Step 8 — Phased Production Rollout</w:t>
      </w:r>
    </w:p>
    <w:p>
      <w:pPr>
        <w:spacing w:after="80" w:before="80" w:line="320"/>
        <w:jc w:val="both"/>
      </w:pPr>
      <w:r>
        <w:rPr>
          <w:rFonts w:ascii="Arial" w:cs="Arial" w:eastAsia="Arial" w:hAnsi="Arial"/>
          <w:sz w:val="22"/>
          <w:szCs w:val="22"/>
        </w:rPr>
        <w:t xml:space="preserve">Route 5% of traffic through the router for real serving. Adequacy-sample the routed responses. After a week, increase to 25%. After another week, 100%. At each phase, watch for adequacy regressions on any tier and watch for tier-distribution drift. Both are easy to detect from the observability data described in Section 11.</w:t>
      </w:r>
    </w:p>
    <w:p>
      <w:pPr>
        <w:pStyle w:val="Heading3"/>
        <w:spacing w:after="100" w:before="200"/>
      </w:pPr>
      <w:r>
        <w:rPr>
          <w:rFonts w:ascii="Arial" w:cs="Arial" w:eastAsia="Arial" w:hAnsi="Arial"/>
          <w:b/>
          <w:bCs/>
          <w:color w:val="1F3864"/>
          <w:sz w:val="23"/>
          <w:szCs w:val="23"/>
        </w:rPr>
        <w:t xml:space="preserve">Step 9 — Operationalize the Tuning Loop</w:t>
      </w:r>
    </w:p>
    <w:p>
      <w:pPr>
        <w:spacing w:after="80" w:before="80" w:line="320"/>
        <w:jc w:val="both"/>
      </w:pPr>
      <w:r>
        <w:rPr>
          <w:rFonts w:ascii="Arial" w:cs="Arial" w:eastAsia="Arial" w:hAnsi="Arial"/>
          <w:sz w:val="22"/>
          <w:szCs w:val="22"/>
        </w:rPr>
        <w:t xml:space="preserve">Establish a quarterly cadence for revisiting exemplars, weights, and cutoffs against fresh production data. Most teams find that the configuration stabilizes after the first two quarters and changes infrequently after that — typically only when a new application surface is added or a new model is introduced into the tier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7F0F8" w:val="clear"/>
            <w:tcMar>
              <w:top w:type="dxa" w:w="160"/>
              <w:left w:type="dxa" w:w="220"/>
              <w:bottom w:type="dxa" w:w="160"/>
              <w:right w:type="dxa" w:w="200"/>
            </w:tcMar>
          </w:tcPr>
          <w:p>
            <w:pPr>
              <w:spacing w:after="80" w:before="0"/>
            </w:pPr>
            <w:r>
              <w:rPr>
                <w:rFonts w:ascii="Arial" w:cs="Arial" w:eastAsia="Arial" w:hAnsi="Arial"/>
                <w:b/>
                <w:bCs/>
                <w:color w:val="1F3864"/>
                <w:sz w:val="24"/>
                <w:szCs w:val="24"/>
              </w:rPr>
              <w:t xml:space="preserve">Time-to-value</w:t>
            </w:r>
          </w:p>
          <w:p>
            <w:pPr>
              <w:spacing w:after="60" w:before="60" w:line="300"/>
              <w:jc w:val="both"/>
            </w:pPr>
            <w:r>
              <w:rPr>
                <w:rFonts w:ascii="Arial" w:cs="Arial" w:eastAsia="Arial" w:hAnsi="Arial"/>
                <w:sz w:val="22"/>
                <w:szCs w:val="22"/>
              </w:rPr>
              <w:t xml:space="preserve">Teams adopting this pattern typically reach the end of Step 5 — a benchmark on their own data — within two to three weeks. The first dollar of cost reduction tends to land around Step 8, six to eight weeks after kickoff. The work is mostly configuration and measurement; no model training, no proprietary infrastructure procurement, and no application code changes beyond a single endpoint redirect.</w:t>
            </w:r>
          </w:p>
        </w:tc>
      </w:tr>
    </w:tbl>
    <w:p>
      <w:r>
        <w:br w:type="page"/>
      </w:r>
    </w:p>
    <w:p>
      <w:pPr>
        <w:pStyle w:val="Heading1"/>
        <w:spacing w:after="180" w:before="360"/>
      </w:pPr>
      <w:r>
        <w:rPr>
          <w:rFonts w:ascii="Arial" w:cs="Arial" w:eastAsia="Arial" w:hAnsi="Arial"/>
          <w:b/>
          <w:bCs/>
          <w:color w:val="1F3864"/>
          <w:sz w:val="32"/>
          <w:szCs w:val="32"/>
        </w:rPr>
        <w:t xml:space="preserve">Section 13: Summary and Takeaways</w:t>
      </w:r>
    </w:p>
    <w:p>
      <w:pPr>
        <w:spacing w:after="80" w:before="80" w:line="320"/>
        <w:jc w:val="both"/>
      </w:pPr>
      <w:r>
        <w:rPr>
          <w:rFonts w:ascii="Arial" w:cs="Arial" w:eastAsia="Arial" w:hAnsi="Arial"/>
          <w:sz w:val="22"/>
          <w:szCs w:val="22"/>
        </w:rPr>
        <w:t xml:space="preserve">Cloud LLM cost growth in enterprise deployments is rarely a model-selection problem and almost always a model-allocation problem. A workload that spans a wide range of difficulty is being served by a single model priced for the hardest queries in the corpus. The cost gradient available across cloud LLM tiers — more than 25x between an open-source frontier API and a vendor frontier model — sits unexploited.</w:t>
      </w:r>
    </w:p>
    <w:p>
      <w:pPr>
        <w:spacing w:after="80" w:before="80" w:line="320"/>
        <w:jc w:val="both"/>
      </w:pPr>
      <w:r>
        <w:rPr>
          <w:rFonts w:ascii="Arial" w:cs="Arial" w:eastAsia="Arial" w:hAnsi="Arial"/>
          <w:sz w:val="22"/>
          <w:szCs w:val="22"/>
        </w:rPr>
        <w:t xml:space="preserve">A semantic router exploits that gradient by treating model selection as routing infrastructure rather than as an application decision. The vLLM Semantic Router implements this pattern as a stateless service that evaluates each request against a small set of complementary signals, computes a continuous difficulty score, and forwards the request to the cheapest cloud tier that can answer it. The router does not generate; it decides. Its overhead is bounded and its decisions are auditable.</w:t>
      </w:r>
    </w:p>
    <w:p>
      <w:pPr>
        <w:spacing w:after="80" w:before="80" w:line="320"/>
        <w:jc w:val="both"/>
      </w:pPr>
      <w:r>
        <w:rPr>
          <w:rFonts w:ascii="Arial" w:cs="Arial" w:eastAsia="Arial" w:hAnsi="Arial"/>
          <w:sz w:val="22"/>
          <w:szCs w:val="22"/>
        </w:rPr>
        <w:t xml:space="preserve">The benchmark presented in this paper measured the cost and adequacy impact of this architecture across 120 production-shaped queries. A frontier-only baseline would have cost $5.56 in cloud inference spend. The router-distributed configuration cost $1.35 — a 76% reduction — with answer adequacy preserved at 94.3% on a four-dimension rubric and routing accuracy of 71.7% exact-match against expected tiers. Under-routing failures (the router placing a query below its capability requirement) occurred in less than 1% of cases.</w:t>
      </w:r>
    </w:p>
    <w:p>
      <w:pPr>
        <w:spacing w:after="80" w:before="80" w:line="320"/>
        <w:jc w:val="both"/>
      </w:pPr>
      <w:r>
        <w:rPr>
          <w:rFonts w:ascii="Arial" w:cs="Arial" w:eastAsia="Arial" w:hAnsi="Arial"/>
          <w:sz w:val="22"/>
          <w:szCs w:val="22"/>
        </w:rPr>
        <w:t xml:space="preserve">Projected to enterprise scale, those per-query savings translate into substantial annual cost avoidance. At 100,000 cloud queries per day, the savings are approximately $1.28M per year against a baseline of $1.69M. At 1M queries per day, the savings reach $12.8M per year. These figures assume a workload distribution similar to the benchmark; workloads skewed toward simpler queries produce larger savings, and the per-query economics scale linearly across volume bands.</w:t>
      </w:r>
    </w:p>
    <w:p>
      <w:pPr>
        <w:spacing w:after="80" w:before="80" w:line="320"/>
        <w:jc w:val="both"/>
      </w:pPr>
      <w:r>
        <w:rPr>
          <w:rFonts w:ascii="Arial" w:cs="Arial" w:eastAsia="Arial" w:hAnsi="Arial"/>
          <w:sz w:val="22"/>
          <w:szCs w:val="22"/>
        </w:rPr>
        <w:t xml:space="preserve">Three takeaways are worth emphasizing for an audience evaluating this architecture:</w:t>
      </w:r>
    </w:p>
    <w:p>
      <w:pPr>
        <w:pStyle w:val="ListParagraph"/>
        <w:numPr>
          <w:ilvl w:val="0"/>
          <w:numId w:val="2"/>
        </w:numPr>
        <w:spacing w:after="40" w:before="40" w:line="300"/>
      </w:pPr>
      <w:r>
        <w:rPr>
          <w:rFonts w:ascii="Arial" w:cs="Arial" w:eastAsia="Arial" w:hAnsi="Arial"/>
          <w:b/>
          <w:bCs/>
          <w:sz w:val="22"/>
          <w:szCs w:val="22"/>
        </w:rPr>
        <w:t xml:space="preserve">Routing is infrastructure. </w:t>
      </w:r>
      <w:r>
        <w:rPr>
          <w:rFonts w:ascii="Arial" w:cs="Arial" w:eastAsia="Arial" w:hAnsi="Arial"/>
          <w:sz w:val="22"/>
          <w:szCs w:val="22"/>
        </w:rPr>
        <w:t xml:space="preserve">Centralizing the model-selection decision in a stateless service — rather than in application code — makes cost a controllable variable. The router becomes the single place where model identity, pricing, and quality bands are managed for the entire fleet, and changes happen as configuration edits rather than code deployments.</w:t>
      </w:r>
    </w:p>
    <w:p>
      <w:pPr>
        <w:pStyle w:val="ListParagraph"/>
        <w:numPr>
          <w:ilvl w:val="0"/>
          <w:numId w:val="2"/>
        </w:numPr>
        <w:spacing w:after="40" w:before="40" w:line="300"/>
      </w:pPr>
      <w:r>
        <w:rPr>
          <w:rFonts w:ascii="Arial" w:cs="Arial" w:eastAsia="Arial" w:hAnsi="Arial"/>
          <w:b/>
          <w:bCs/>
          <w:sz w:val="22"/>
          <w:szCs w:val="22"/>
        </w:rPr>
        <w:t xml:space="preserve">The cost gradient is real and steep. </w:t>
      </w:r>
      <w:r>
        <w:rPr>
          <w:rFonts w:ascii="Arial" w:cs="Arial" w:eastAsia="Arial" w:hAnsi="Arial"/>
          <w:sz w:val="22"/>
          <w:szCs w:val="22"/>
        </w:rPr>
        <w:t xml:space="preserve">Cloud LLM pricing varies by more than an order of magnitude across capability tiers, and most production workloads have a difficulty distribution that the gradient can fully exploit. The router does not create new pricing; it ensures the workload uses the pricing the providers have already published.</w:t>
      </w:r>
    </w:p>
    <w:p>
      <w:pPr>
        <w:pStyle w:val="ListParagraph"/>
        <w:numPr>
          <w:ilvl w:val="0"/>
          <w:numId w:val="2"/>
        </w:numPr>
        <w:spacing w:after="40" w:before="40" w:line="300"/>
      </w:pPr>
      <w:r>
        <w:rPr>
          <w:rFonts w:ascii="Arial" w:cs="Arial" w:eastAsia="Arial" w:hAnsi="Arial"/>
          <w:b/>
          <w:bCs/>
          <w:sz w:val="22"/>
          <w:szCs w:val="22"/>
        </w:rPr>
        <w:t xml:space="preserve">The pattern is portable. </w:t>
      </w:r>
      <w:r>
        <w:rPr>
          <w:rFonts w:ascii="Arial" w:cs="Arial" w:eastAsia="Arial" w:hAnsi="Arial"/>
          <w:sz w:val="22"/>
          <w:szCs w:val="22"/>
        </w:rPr>
        <w:t xml:space="preserve">The architecture described here uses open-source software (vllm-sr), standard cloud LLM APIs, and a configuration approach that any engineering team can author and operate. There is no model training step, no proprietary tooling, and no architectural lock-in. The same pattern transfers across cloud providers and across model generations.</w:t>
      </w:r>
    </w:p>
    <w:p>
      <w:pPr>
        <w:spacing w:after="80" w:before="80" w:line="320"/>
        <w:jc w:val="both"/>
      </w:pPr>
      <w:r>
        <w:rPr>
          <w:rFonts w:ascii="Arial" w:cs="Arial" w:eastAsia="Arial" w:hAnsi="Arial"/>
          <w:sz w:val="22"/>
          <w:szCs w:val="22"/>
        </w:rPr>
        <w:t xml:space="preserve">As cloud LLM adoption deepens across the enterprise, the difference between a single-endpoint deployment and a routed one becomes the difference between a cost curve that follows traffic growth and one that follows traffic complexity. Most teams reach a point where the former is no longer sustainable. The architecture described in this paper is the structural answer to that constraint, deployable today with off-the-shelf components.</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w:t>
      </w:r>
    </w:p>
    <w:p>
      <w:pPr>
        <w:pBdr>
          <w:top w:val="single" w:color="2E75B6" w:sz="12" w:space="6"/>
        </w:pBdr>
        <w:spacing w:after="120" w:before="240"/>
      </w:pPr>
      <w:r>
        <w:rPr>
          <w:rFonts w:ascii="Arial" w:cs="Arial" w:eastAsia="Arial" w:hAnsi="Arial"/>
          <w:sz w:val="20"/>
          <w:szCs w:val="20"/>
        </w:rPr>
        <w:t xml:space="preserve"/>
      </w:r>
    </w:p>
    <w:p>
      <w:pPr>
        <w:spacing w:after="60" w:before="60"/>
        <w:jc w:val="center"/>
      </w:pPr>
      <w:r>
        <w:rPr>
          <w:rFonts w:ascii="Arial" w:cs="Arial" w:eastAsia="Arial" w:hAnsi="Arial"/>
          <w:b/>
          <w:bCs/>
          <w:color w:val="1F3864"/>
          <w:sz w:val="22"/>
          <w:szCs w:val="22"/>
        </w:rPr>
        <w:t xml:space="preserve">Learn more about the vLLM Semantic Router.</w:t>
      </w:r>
    </w:p>
    <w:p>
      <w:pPr>
        <w:spacing w:after="60" w:before="0"/>
        <w:jc w:val="center"/>
      </w:pPr>
      <w:r>
        <w:rPr>
          <w:rFonts w:ascii="Arial" w:cs="Arial" w:eastAsia="Arial" w:hAnsi="Arial"/>
          <w:i/>
          <w:iCs/>
          <w:color w:val="595959"/>
          <w:sz w:val="22"/>
          <w:szCs w:val="22"/>
        </w:rPr>
        <w:t xml:space="preserve">Project home: github.com/vllm-project/semantic-router</w:t>
      </w:r>
    </w:p>
    <w:p>
      <w:pPr>
        <w:spacing w:after="0" w:before="240"/>
        <w:jc w:val="center"/>
      </w:pPr>
      <w:r>
        <w:rPr>
          <w:rFonts w:ascii="Arial" w:cs="Arial" w:eastAsia="Arial" w:hAnsi="Arial"/>
          <w:color w:val="595959"/>
          <w:sz w:val="18"/>
          <w:szCs w:val="18"/>
        </w:rPr>
        <w:t xml:space="preserve">© 2026. Benchmark data and analysis described in this paper.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595959"/>
        <w:sz w:val="18"/>
        <w:szCs w:val="18"/>
      </w:rPr>
      <w:t xml:space="preserve">White Paper</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before="0"/>
      <w:jc w:val="right"/>
    </w:pPr>
    <w:r>
      <w:rPr>
        <w:rFonts w:ascii="Arial" w:cs="Arial" w:eastAsia="Arial" w:hAnsi="Arial"/>
        <w:i/>
        <w:iCs/>
        <w:color w:val="595959"/>
        <w:sz w:val="18"/>
        <w:szCs w:val="18"/>
      </w:rPr>
      <w:t xml:space="preserve">Cutting Cloud LLM Costs with Semantic Routing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Cutting Cloud LLM Costs with Semantic Routing</dc:title>
  <dc:creator>Semantic Router White Paper</dc:creator>
  <cp:lastModifiedBy>Un-named</cp:lastModifiedBy>
  <cp:revision>1</cp:revision>
  <dcterms:created xsi:type="dcterms:W3CDTF">2026-05-18T19:54:38.567Z</dcterms:created>
  <dcterms:modified xsi:type="dcterms:W3CDTF">2026-05-18T19:54:38.567Z</dcterms:modified>
</cp:coreProperties>
</file>

<file path=docProps/custom.xml><?xml version="1.0" encoding="utf-8"?>
<Properties xmlns="http://schemas.openxmlformats.org/officeDocument/2006/custom-properties" xmlns:vt="http://schemas.openxmlformats.org/officeDocument/2006/docPropsVTypes"/>
</file>