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left"/>
      </w:pPr>
      <w:r>
        <w:rPr>
          <w:b/>
          <w:bCs/>
          <w:color w:val="1b2733"/>
          <w:sz w:val="52"/>
          <w:szCs w:val="52"/>
        </w:rPr>
        <w:t xml:space="preserve">Right-Sizing the Model to the Question</w:t>
      </w:r>
    </w:p>
    <w:p>
      <w:pPr>
        <w:spacing w:after="300"/>
      </w:pPr>
      <w:r>
        <w:rPr>
          <w:color w:val="1f7a8c"/>
          <w:sz w:val="30"/>
          <w:szCs w:val="30"/>
        </w:rPr>
        <w:t xml:space="preserve">Cutting LLM inference cost with a cloud semantic router</w:t>
      </w:r>
    </w:p>
    <w:p>
      <w:pPr>
        <w:spacing w:after="80"/>
      </w:pPr>
      <w:r>
        <w:rPr>
          <w:color w:val="46566b"/>
          <w:sz w:val="24"/>
          <w:szCs w:val="24"/>
        </w:rPr>
        <w:t xml:space="preserve">A technical white paper</w:t>
      </w:r>
    </w:p>
    <w:p>
      <w:pPr>
        <w:spacing w:after="80"/>
      </w:pPr>
      <w:r>
        <w:rPr>
          <w:color w:val="46566b"/>
          <w:sz w:val="22"/>
          <w:szCs w:val="22"/>
        </w:rPr>
        <w:t xml:space="preserve">Measured results from the vLLM Semantic Router benchmark harness</w:t>
      </w:r>
    </w:p>
    <w:p>
      <w:pPr>
        <w:spacing w:before="240"/>
      </w:pPr>
      <w:r>
        <w:rPr>
          <w:color w:val="46566b"/>
          <w:sz w:val="22"/>
          <w:szCs w:val="22"/>
        </w:rPr>
        <w:t xml:space="preserve">June 2026</w:t>
      </w:r>
    </w:p>
    <w:p>
      <w:r>
        <w:br w:type="page"/>
      </w:r>
    </w:p>
    <w:p>
      <w:pPr>
        <w:spacing w:after="120"/>
      </w:pPr>
      <w:r>
        <w:rPr>
          <w:b/>
          <w:bCs/>
          <w:color w:val="1b2733"/>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jc w:val="both"/>
      </w:pPr>
      <w:r>
        <w:t xml:space="preserve">Most production traffic to a large language model is easy. A user asks for the capital of a country, a unit conversion, a short rewrite, or a definition. A small fraction of traffic is hard: a multi-step proof, a high-stakes judgment call, a long synthesis across several domains. When every request is sent to a single frontier model, the easy questions are answered at the same price as the hard ones. That price gap is the waste a semantic router removes.</w:t>
      </w:r>
    </w:p>
    <w:p>
      <w:pPr>
        <w:spacing w:after="160" w:line="276"/>
        <w:jc w:val="both"/>
      </w:pPr>
      <w:r>
        <w:t xml:space="preserve">A semantic router reads each incoming prompt, estimates how much capability the prompt actually requires, and forwards it to the smallest model tier that can answer it well. Trivial questions go to a small, inexpensive hosted model. The few questions that genuinely need a frontier model still get one. The result is the same answer quality on a per-question basis at a fraction of the blended cost.</w:t>
      </w:r>
    </w:p>
    <w:p>
      <w:pPr>
        <w:spacing w:after="160" w:line="276"/>
        <w:jc w:val="both"/>
      </w:pPr>
      <w:r>
        <w:t xml:space="preserve">This paper documents a working five-tier router built on the open-source </w:t>
      </w:r>
      <w:r>
        <w:rPr>
          <w:b/>
          <w:bCs/>
        </w:rPr>
        <w:t xml:space="preserve">vLLM Semantic Router</w:t>
      </w:r>
      <w:r>
        <w:t xml:space="preserve">. The router operates entirely as a cloud API router: every tier is a hosted vendor model, and each query is forwarded to the cheapest cloud model capable of answering it. We measured the system against a curated 797-query benchmark spanning trivial lookups to frontier-grade synthesis, and scored every routed answer with two independent LLM judges. The benchmark reporting in this paper covers the cloud model results only.</w:t>
      </w:r>
    </w:p>
    <w:p>
      <w:pPr>
        <w:spacing w:after="160" w:line="276"/>
        <w:jc w:val="both"/>
      </w:pPr>
      <w:r>
        <w:t xml:space="preserve">The headline findings, all measured on this code base:</w:t>
      </w:r>
    </w:p>
    <w:p>
      <w:pPr>
        <w:pStyle w:val="ListParagraph"/>
        <w:numPr>
          <w:ilvl w:val="0"/>
          <w:numId w:val="2"/>
        </w:numPr>
        <w:spacing w:after="80"/>
      </w:pPr>
      <w:r>
        <w:rPr>
          <w:b/>
          <w:bCs/>
        </w:rPr>
        <w:t xml:space="preserve">98 percent of routed answers were judged adequate</w:t>
      </w:r>
      <w:r>
        <w:t xml:space="preserve"> across 6,268 answer-by-judge comparisons, with per-tier adequacy between 96 and 100 percent.</w:t>
      </w:r>
    </w:p>
    <w:p>
      <w:pPr>
        <w:pStyle w:val="ListParagraph"/>
        <w:numPr>
          <w:ilvl w:val="0"/>
          <w:numId w:val="2"/>
        </w:numPr>
        <w:spacing w:after="80"/>
      </w:pPr>
      <w:r>
        <w:rPr>
          <w:b/>
          <w:bCs/>
        </w:rPr>
        <w:t xml:space="preserve">31 percent cost reduction</w:t>
      </w:r>
      <w:r>
        <w:t xml:space="preserve"> against an all-frontier baseline on the benchmark mix, the even spread across difficulty bands used to test the router. At 300,000 queries per day this is about $241,000 saved per year, the figure shown by the project's live cost calculator.</w:t>
      </w:r>
    </w:p>
    <w:p>
      <w:pPr>
        <w:pStyle w:val="ListParagraph"/>
        <w:numPr>
          <w:ilvl w:val="0"/>
          <w:numId w:val="2"/>
        </w:numPr>
        <w:spacing w:after="80"/>
      </w:pPr>
      <w:r>
        <w:rPr>
          <w:b/>
          <w:bCs/>
        </w:rPr>
        <w:t xml:space="preserve">58 percent cost reduction</w:t>
      </w:r>
      <w:r>
        <w:t xml:space="preserve"> on a simple-weighted distribution, the same per-query method applied to the easy-heavy traffic most production deployments actually see.</w:t>
      </w:r>
    </w:p>
    <w:p>
      <w:pPr>
        <w:pStyle w:val="ListParagraph"/>
        <w:numPr>
          <w:ilvl w:val="0"/>
          <w:numId w:val="2"/>
        </w:numPr>
        <w:spacing w:after="160"/>
      </w:pPr>
      <w:r>
        <w:rPr>
          <w:b/>
          <w:bCs/>
        </w:rPr>
        <w:t xml:space="preserve">355 millisecond mean routing latency</w:t>
      </w:r>
      <w:r>
        <w:t xml:space="preserve"> at a sustained 22.5 queries per second, so the routing decision is a small fraction of total response time.</w:t>
      </w:r>
    </w:p>
    <w:p>
      <w:pPr>
        <w:spacing w:after="40" w:before="80"/>
        <w:jc w:val="center"/>
      </w:pPr>
      <w:r>
        <w:drawing>
          <wp:inline distT="0" distB="0" distL="0" distR="0">
            <wp:extent cx="5334000" cy="2981325"/>
            <wp:effectExtent t="0" r="0" b="0" l="0"/>
            <wp:docPr id="1" name="fig_cost_savings.png" descr="Figure 1. Routed spend versus sending every query to the frontier model, under two traffic distributions. Each routed bar is compared against the all-frontier cost for that same distribution. Numbers are dollars per one million queries at the measured token counts and current supplier rates. The distributions are explained in Section 7.3." title="Figure 1. Routed spend versus sending every query to the frontier model, under two traffic distributions. Each routed bar is compared against the all-frontier cost for that same distribution. Numbers are dollars per one million queries at the measured token counts and current supplier rates. The distributions are explained in Sectio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981325"/>
                    </a:xfrm>
                    <a:prstGeom prst="rect">
                      <a:avLst/>
                    </a:prstGeom>
                  </pic:spPr>
                </pic:pic>
              </a:graphicData>
            </a:graphic>
          </wp:inline>
        </w:drawing>
      </w:r>
    </w:p>
    <w:p>
      <w:pPr>
        <w:spacing w:after="200"/>
        <w:jc w:val="center"/>
      </w:pPr>
      <w:r>
        <w:rPr>
          <w:i/>
          <w:iCs/>
          <w:color w:val="46566b"/>
          <w:sz w:val="18"/>
          <w:szCs w:val="18"/>
        </w:rPr>
        <w:t xml:space="preserve">Figure 1. Routed spend versus sending every query to the frontier model, under two traffic distributions. Each routed bar is compared against the all-frontier cost for that same distribution. Numbers are dollars per one million queries at the measured token counts and current supplier rates. The distributions are explained in Section 7.3.</w:t>
      </w:r>
    </w:p>
    <w:p>
      <w:pPr>
        <w:pStyle w:val="Heading1"/>
      </w:pPr>
      <w:r>
        <w:t xml:space="preserve">2. The problem and its economic impact</w:t>
      </w:r>
    </w:p>
    <w:p>
      <w:pPr>
        <w:spacing w:after="160" w:line="276"/>
        <w:jc w:val="both"/>
      </w:pPr>
      <w:r>
        <w:t xml:space="preserve">Frontier models are priced for their hardest use. A top-tier model charges several dollars per million input tokens and five to six times that per million output tokens, because serving it requires large amounts of accelerator memory and compute. That price is justified when the question demands frontier reasoning. It is pure overpayment when the question is a definition lookup that a small, inexpensive model answers correctly in a few tokens.</w:t>
      </w:r>
    </w:p>
    <w:p>
      <w:pPr>
        <w:spacing w:after="160" w:line="276"/>
        <w:jc w:val="both"/>
      </w:pPr>
      <w:r>
        <w:t xml:space="preserve">The economic problem is that real traffic is heavily skewed toward the easy end, while naive deployments price all of it at the hard end. In the benchmark used here, the per-query cost of answering with a top-tier model ranges from about five cents per hundred queries for the easiest band to fifteen times that for the hardest. A deployment that sends everything to the top tier pays the high rate on every request, including the large majority that a far cheaper model would have handled correctly.</w:t>
      </w:r>
    </w:p>
    <w:p>
      <w:pPr>
        <w:spacing w:after="160" w:line="276"/>
        <w:jc w:val="both"/>
      </w:pPr>
      <w:r>
        <w:t xml:space="preserve">The savings rest on one measured fact. On this benchmark an average query costs about $0.0050 to answer through the router, against about $0.0072 if sent straight to the frontier model, a difference of about $0.0022 per query. Section 7.3 derives both figures from real token counts and current rates. Everything else in the economic case is that per-query difference multiplied by how many queries an organization runs.</w:t>
      </w:r>
    </w:p>
    <w:p>
      <w:pPr>
        <w:spacing w:after="160" w:line="276"/>
        <w:jc w:val="both"/>
      </w:pPr>
      <w:r>
        <w:t xml:space="preserve">Volume is easiest to reason about one user at a time. A knowledge worker who leans on an AI assistant through the day, for drafting, search, summarizing, and code help, issues on the order of twenty to fifty queries in a working day; thirty is a reasonable planning midpoint. Multiplying queries per user by the number of users gives the daily volume, and the per-query saving times daily volume times 365 gives the annual saving. The table below works this through for four organization sizes at thirty queries per user per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1900"/>
        <w:gridCol w:w="1660"/>
        <w:gridCol w:w="2200"/>
      </w:tblGrid>
      <w:tr>
        <w:trPr>
          <w:cantSplit/>
          <w:tblHeader/>
        </w:trPr>
        <w:tc>
          <w:tcPr>
            <w:tcW w:type="dxa" w:w="23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Organization</w:t>
            </w:r>
          </w:p>
        </w:tc>
        <w:tc>
          <w:tcPr>
            <w:tcW w:type="dxa" w:w="12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Users</w:t>
            </w:r>
          </w:p>
        </w:tc>
        <w:tc>
          <w:tcPr>
            <w:tcW w:type="dxa" w:w="1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Queries / user / day</w:t>
            </w:r>
          </w:p>
        </w:tc>
        <w:tc>
          <w:tcPr>
            <w:tcW w:type="dxa" w:w="1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Queries / day</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Annual saving</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Small team</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$4.8K</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Department</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1,000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$24K</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Mid-size company</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10,000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$241K</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Large enterprise</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33,000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~1,000,000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$795K</w:t>
            </w:r>
          </w:p>
        </w:tc>
      </w:tr>
    </w:tbl>
    <w:p>
      <w:pPr>
        <w:spacing w:after="120"/>
      </w:pPr>
      <w:r>
        <w:t xml:space="preserve"/>
      </w:r>
    </w:p>
    <w:p>
      <w:pPr>
        <w:spacing w:after="160" w:line="276"/>
        <w:jc w:val="both"/>
      </w:pPr>
      <w:r>
        <w:t xml:space="preserve">The mid-size row is the anchor. A deployment of 10,000 users at thirty queries each is 300,000 queries per day, which saves about $241,000 per year. That is the same figure the project's live cost calculator reports at that volume, computed the same way. Savings scale linearly with total query volume, so the figure can be read off directly for any organization size.</w:t>
      </w:r>
    </w:p>
    <w:p>
      <w:pPr>
        <w:spacing w:after="40" w:before="80"/>
        <w:jc w:val="center"/>
      </w:pPr>
      <w:r>
        <w:drawing>
          <wp:inline distT="0" distB="0" distL="0" distR="0">
            <wp:extent cx="5715000" cy="3105150"/>
            <wp:effectExtent t="0" r="0" b="0" l="0"/>
            <wp:docPr id="1" name="fig_savings_scale.png" descr="Figure 2. Annual savings as a function of total daily query volume, on the benchmark mix. The marked point is the 300,000-queries-per-day case, about $241,000 per year, which corresponds to 10,000 users at thirty queries per workday and matches the live calculator. User counts assume thirty queries per user per day; heavier usage reaches the same totals with fewer users." title="Figure 2. Annual savings as a function of total daily query volume, on the benchmark mix. The marked point is the 300,000-queries-per-day case, about $241,000 per year, which corresponds to 10,000 users at thirty queries per workday and matches the live calculator. User counts assume thirty queries per user per day; heavier usage reaches the same totals with fewer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200"/>
        <w:jc w:val="center"/>
      </w:pPr>
      <w:r>
        <w:rPr>
          <w:i/>
          <w:iCs/>
          <w:color w:val="46566b"/>
          <w:sz w:val="18"/>
          <w:szCs w:val="18"/>
        </w:rPr>
        <w:t xml:space="preserve">Figure 2. Annual savings as a function of total daily query volume, on the benchmark mix. The marked point is the 300,000-queries-per-day case, about $241,000 per year, which corresponds to 10,000 users at thirty queries per workday and matches the live calculator. User counts assume thirty queries per user per day; heavier usage reaches the same totals with fewer users.</w:t>
      </w:r>
    </w:p>
    <w:p>
      <w:pPr>
        <w:spacing w:after="160" w:line="276"/>
        <w:jc w:val="both"/>
      </w:pPr>
      <w:r>
        <w:t xml:space="preserve">These figures use the benchmark mix and its 31 percent reduction. On the easy-heavy traffic that real deployments actually see, where the great majority of queries are simple, the percentage reduction is higher still, as Section 7.3 shows.</w:t>
      </w:r>
    </w:p>
    <w:p>
      <w:pPr>
        <w:spacing w:after="160" w:line="276"/>
        <w:jc w:val="both"/>
      </w:pPr>
      <w:r>
        <w:t xml:space="preserve">There is a second cost that pure dollar figures understate. Sending trivial work to a frontier model also consumes more tokens and adds latency that a smaller model would avoid. Independent work on the vLLM Semantic Router measured token usage falling to about one fifth of the original when reasoning effort was matched to the question, alongside lower latency. Cost and speed improve together when the model is sized to the question.</w:t>
      </w:r>
    </w:p>
    <w:p>
      <w:pPr>
        <w:spacing w:after="40" w:before="80"/>
        <w:jc w:val="center"/>
      </w:pPr>
      <w:r>
        <w:drawing>
          <wp:inline distT="0" distB="0" distL="0" distR="0">
            <wp:extent cx="5715000" cy="2886075"/>
            <wp:effectExtent t="0" r="0" b="0" l="0"/>
            <wp:docPr id="1" name="fig_pertier_cost.png" descr="Figure 3. Per-tier economics. For each band a query can land in, the cost of answering with the frontier model versus the model the router uses for that tier, in dollars per thousand queries. The lower bands cost a small fraction of frontier rates, which is where the savings come from." title="Figure 3. Per-tier economics. For each band a query can land in, the cost of answering with the frontier model versus the model the router uses for that tier, in dollars per thousand queries. The lower bands cost a small fraction of frontier rates, which is where the savings come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86075"/>
                    </a:xfrm>
                    <a:prstGeom prst="rect">
                      <a:avLst/>
                    </a:prstGeom>
                  </pic:spPr>
                </pic:pic>
              </a:graphicData>
            </a:graphic>
          </wp:inline>
        </w:drawing>
      </w:r>
    </w:p>
    <w:p>
      <w:pPr>
        <w:spacing w:after="200"/>
        <w:jc w:val="center"/>
      </w:pPr>
      <w:r>
        <w:rPr>
          <w:i/>
          <w:iCs/>
          <w:color w:val="46566b"/>
          <w:sz w:val="18"/>
          <w:szCs w:val="18"/>
        </w:rPr>
        <w:t xml:space="preserve">Figure 3. Per-tier economics. For each band a query can land in, the cost of answering with the frontier model versus the model the router uses for that tier, in dollars per thousand queries. The lower bands cost a small fraction of frontier rates, which is where the savings come from.</w:t>
      </w:r>
    </w:p>
    <w:p>
      <w:pPr>
        <w:pStyle w:val="Heading1"/>
      </w:pPr>
      <w:r>
        <w:t xml:space="preserve">3. What semantic routing is, and why it helps</w:t>
      </w:r>
    </w:p>
    <w:p>
      <w:pPr>
        <w:spacing w:after="160" w:line="276"/>
        <w:jc w:val="both"/>
      </w:pPr>
      <w:r>
        <w:t xml:space="preserve">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pPr>
        <w:spacing w:after="160" w:line="276"/>
        <w:jc w:val="both"/>
      </w:pPr>
      <w:r>
        <w:t xml:space="preserve">The idea is well supported in the research literature, and the reported savings are large and consistent across independent groups.</w:t>
      </w:r>
    </w:p>
    <w:p>
      <w:pPr>
        <w:spacing w:after="160" w:line="276"/>
        <w:jc w:val="both"/>
      </w:pPr>
      <w:r>
        <w:rPr>
          <w:b/>
          <w:bCs/>
        </w:rPr>
        <w:t xml:space="preserve">RouteLLM</w:t>
      </w:r>
      <w:r>
        <w:t xml:space="preserve">,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pPr>
        <w:spacing w:after="160" w:line="276"/>
        <w:jc w:val="both"/>
      </w:pPr>
      <w:r>
        <w:rPr>
          <w:b/>
          <w:bCs/>
        </w:rPr>
        <w:t xml:space="preserve">The vLLM Semantic Router</w:t>
      </w:r>
      <w:r>
        <w:t xml:space="preserve">, introduced by Red Hat and the vLLM community in 2025, brings the same idea to the open inference stack with an intent-and-complexity classifier built on a compact encoder model. Their published benchmarks on MMLU-Pro with a Qwen3 30B model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pPr>
        <w:spacing w:after="160" w:line="276"/>
        <w:jc w:val="both"/>
      </w:pPr>
      <w:r>
        <w:t xml:space="preserve">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pPr>
        <w:spacing w:after="160" w:line="276"/>
        <w:jc w:val="both"/>
      </w:pPr>
      <w:r>
        <w:t xml:space="preserve">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w:t>
      </w:r>
    </w:p>
    <w:p>
      <w:pPr>
        <w:pStyle w:val="Heading1"/>
      </w:pPr>
      <w:r>
        <w:t xml:space="preserve">4. How semantic routing works, and how vLLM-SR works specifically</w:t>
      </w:r>
    </w:p>
    <w:p>
      <w:pPr>
        <w:pStyle w:val="Heading2"/>
      </w:pPr>
      <w:r>
        <w:t xml:space="preserve">4.1 The general pipeline</w:t>
      </w:r>
    </w:p>
    <w:p>
      <w:pPr>
        <w:spacing w:after="160" w:line="276"/>
        <w:jc w:val="both"/>
      </w:pPr>
      <w:r>
        <w:t xml:space="preserve">Every semantic router performs four steps on each request. It extracts signals from the prompt, combines those signals into a single difficulty estimate, maps that estimate to a destination tier, and forwards the request to a model in that tier. The art is in the signals and the mapping; the rest is plumbing.</w:t>
      </w:r>
    </w:p>
    <w:p>
      <w:pPr>
        <w:spacing w:after="40" w:before="80"/>
        <w:jc w:val="center"/>
      </w:pPr>
      <w:r>
        <w:drawing>
          <wp:inline distT="0" distB="0" distL="0" distR="0">
            <wp:extent cx="5715000" cy="2286000"/>
            <wp:effectExtent t="0" r="0" b="0" l="0"/>
            <wp:docPr id="1" name="fig_pipeline.png" descr="Figure 4. The routing pipeline. Signals extracted from the prompt are combined into one difficulty score, the score is mapped to a tier band, and the request is forwarded to the smallest capable model." title="Figure 4.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46566b"/>
          <w:sz w:val="18"/>
          <w:szCs w:val="18"/>
        </w:rPr>
        <w:t xml:space="preserve">Figure 4. The routing pipeline. Signals extracted from the prompt are combined into one difficulty score, the score is mapped to a tier band, and the request is forwarded to the smallest capable model.</w:t>
      </w:r>
    </w:p>
    <w:p>
      <w:pPr>
        <w:spacing w:after="160" w:line="276"/>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amount to the difficulty score, and the weights are where an operator encodes judgment about what makes a query hard.</w:t>
      </w:r>
    </w:p>
    <w:p>
      <w:pPr>
        <w:pStyle w:val="Heading2"/>
      </w:pPr>
      <w:r>
        <w:t xml:space="preserve">4.2 How vLLM Semantic Router implements it</w:t>
      </w:r>
    </w:p>
    <w:p>
      <w:pPr>
        <w:spacing w:after="160" w:line="276"/>
        <w:jc w:val="both"/>
      </w:pPr>
      <w:r>
        <w:t xml:space="preserve">The vLLM Semantic Router is delivered as an </w:t>
      </w:r>
      <w:r>
        <w:rPr>
          <w:b/>
          <w:bCs/>
        </w:rPr>
        <w:t xml:space="preserve">Envoy proxy with an external processing service</w:t>
      </w:r>
      <w:r>
        <w:t xml:space="preserve">. Envoy sits in front of the model backends and, for every request, calls out to the router process, which runs the classifier and decides the destination. The router is lightweight: its classifier is a compact encoder model rather than a generative LLM, so the routing decision is cheap. It runs as a thin cloud service in front of the vendor model APIs, adding a single inexpensive hop ahead of the model call.</w:t>
      </w:r>
    </w:p>
    <w:p>
      <w:pPr>
        <w:spacing w:after="160" w:line="276"/>
        <w:jc w:val="both"/>
      </w:pPr>
      <w:r>
        <w:t xml:space="preserve">On first launch the router downloads a small embedding model, </w:t>
      </w:r>
      <w:r>
        <w:rPr>
          <w:b/>
          <w:bCs/>
        </w:rPr>
        <w:t xml:space="preserve">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chat-completions API can sit in front of it without code changes.</w:t>
      </w:r>
    </w:p>
    <w:p>
      <w:pPr>
        <w:spacing w:after="160" w:line="276"/>
        <w:jc w:val="both"/>
      </w:pPr>
      <w:r>
        <w:t xml:space="preserve">The routing decision is returned on the response as three headers: </w:t>
      </w:r>
      <w:r>
        <w:rPr>
          <w:rFonts w:ascii="Courier New" w:cs="Courier New" w:eastAsia="Courier New" w:hAnsi="Courier New"/>
        </w:rPr>
        <w:t xml:space="preserve">x-vsr-selected-model</w:t>
      </w:r>
      <w:r>
        <w:t xml:space="preserve">, </w:t>
      </w:r>
      <w:r>
        <w:rPr>
          <w:rFonts w:ascii="Courier New" w:cs="Courier New" w:eastAsia="Courier New" w:hAnsi="Courier New"/>
        </w:rPr>
        <w:t xml:space="preserve">x-vsr-selected-category</w:t>
      </w:r>
      <w:r>
        <w:t xml:space="preserve">, and </w:t>
      </w:r>
      <w:r>
        <w:rPr>
          <w:rFonts w:ascii="Courier New" w:cs="Courier New" w:eastAsia="Courier New" w:hAnsi="Courier New"/>
        </w:rPr>
        <w:t xml:space="preserve">x-vsr-selected-reasoning</w:t>
      </w:r>
      <w:r>
        <w:t xml:space="preserve">. Downstream code reads these to know which tier handled the request, which makes the system easy to observe and to benchmark.</w:t>
      </w:r>
    </w:p>
    <w:p>
      <w:pPr>
        <w:spacing w:after="160" w:line="276"/>
        <w:jc w:val="both"/>
      </w:pPr>
      <w:r>
        <w:t xml:space="preserve">The version used here emits the v0.3 canonical </w:t>
      </w:r>
      <w:r>
        <w:rPr>
          <w:b/>
          <w:bCs/>
        </w:rPr>
        <w:t xml:space="preserve">projections</w:t>
      </w:r>
      <w:r>
        <w:t xml:space="preserve"> configuration. In that shape, all of the signals feed a single weighted sum named </w:t>
      </w:r>
      <w:r>
        <w:rPr>
          <w:rFonts w:ascii="Courier New" w:cs="Courier New" w:eastAsia="Courier New" w:hAnsi="Courier New"/>
        </w:rPr>
        <w:t xml:space="preserve">request_difficulty</w:t>
      </w:r>
      <w:r>
        <w:t xml:space="preserve">,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pPr>
        <w:pStyle w:val="Heading1"/>
      </w:pPr>
      <w:r>
        <w:t xml:space="preserve">5. Setting up routing: tiers, models, exemplars, and scoring</w:t>
      </w:r>
    </w:p>
    <w:p>
      <w:pPr>
        <w:pStyle w:val="Heading2"/>
      </w:pPr>
      <w:r>
        <w:t xml:space="preserve">5.1 Define the tiers</w:t>
      </w:r>
    </w:p>
    <w:p>
      <w:pPr>
        <w:spacing w:after="160" w:line="276"/>
        <w:jc w:val="both"/>
      </w:pPr>
      <w:r>
        <w:t xml:space="preserve">A tier is a capability band, not a specific model. Defining tiers first, and binding models to them second, lets the model behind a tier change without disturbing the routing logic. The system documented here uses five tiers of hosted cloud models, from the smallest, cheapest model for trivial work up to a frontier model for the hardest combined reasoning and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cantSplit/>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Tier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Role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Example cloud models bound to it</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 lookups, format conversion, one-step transforms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Workhorse: standard coding, short explainers, common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Heavy reasoning, deep technical work, complex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High-stakes judgment, advice, strategy</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Frontier: deeply technical and demanding judgment at once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bl>
    <w:p>
      <w:pPr>
        <w:spacing w:after="120"/>
      </w:pPr>
      <w:r>
        <w:t xml:space="preserve"/>
      </w:r>
    </w:p>
    <w:p>
      <w:pPr>
        <w:spacing w:after="160" w:line="276"/>
        <w:jc w:val="both"/>
      </w:pPr>
      <w:r>
        <w:t xml:space="preserve">The two lowest tiers are the heart of the savings. They bind to the smallest, cheapest hosted models, such as </w:t>
      </w:r>
      <w:r>
        <w:rPr>
          <w:b/>
          <w:bCs/>
        </w:rPr>
        <w:t xml:space="preserve">gpt-5-nano</w:t>
      </w:r>
      <w:r>
        <w:t xml:space="preserve"> and </w:t>
      </w:r>
      <w:r>
        <w:rPr>
          <w:b/>
          <w:bCs/>
        </w:rPr>
        <w:t xml:space="preserve">gemini-3.1-flash-lite</w:t>
      </w:r>
      <w:r>
        <w:t xml:space="preserve"> at T1 and </w:t>
      </w:r>
      <w:r>
        <w:rPr>
          <w:b/>
          <w:bCs/>
        </w:rPr>
        <w:t xml:space="preserve">gpt-5.4-nano</w:t>
      </w:r>
      <w:r>
        <w:t xml:space="preserve"> and </w:t>
      </w:r>
      <w:r>
        <w:rPr>
          <w:b/>
          <w:bCs/>
        </w:rPr>
        <w:t xml:space="preserve">gemini-2.5-flash</w:t>
      </w:r>
      <w:r>
        <w:t xml:space="preserve"> at T2. These models cost a small fraction of frontier rates per token, often more than fifty times less, yet they answer the trivial and workhorse questions that make up most real traffic. Routing the easy majority to them is where the bulk of the savings is realized.</w:t>
      </w:r>
    </w:p>
    <w:p>
      <w:pPr>
        <w:pStyle w:val="Heading2"/>
      </w:pPr>
      <w:r>
        <w:t xml:space="preserve">5.2 Bind models to tiers</w:t>
      </w:r>
    </w:p>
    <w:p>
      <w:pPr>
        <w:spacing w:after="160" w:line="276"/>
        <w:jc w:val="both"/>
      </w:pPr>
      <w:r>
        <w:t xml:space="preserve">Each tier can front several models from different suppliers. A tier names its callable models in configuration, one indexed slot per model, each carrying an endpoint URL, a model name, and an optional supplier label and timeout. Adding a model is an edit to one configuration entry, never a code change. Every endpoint speaks the OpenAI chat-completions API, so suppliers are interchangeable and a tier can be re-pointed from one vendor to another without touching code. When a tier fronts more than one model, the router can prefer the cheapest model that meets the tier requirement.</w:t>
      </w:r>
    </w:p>
    <w:p>
      <w:pPr>
        <w:pStyle w:val="Heading2"/>
      </w:pPr>
      <w:r>
        <w:t xml:space="preserve">5.3 The signal categories, and what is fixed versus what you choose</w:t>
      </w:r>
    </w:p>
    <w:p>
      <w:pPr>
        <w:spacing w:after="160" w:line="276"/>
        <w:jc w:val="both"/>
      </w:pPr>
      <w:r>
        <w:t xml:space="preserve">This is the part that looks like magic, and it is worth slowing down on, because it is not magic at all. The router never decides a tier directly. For each prompt it computes a single number, called request_difficulty, then compares that number to a set of cutoffs to pick the band. Everything else is bookkeeping. The number is a weighted sum of signals, and a signal is just a measurement of the prompt that you have decided is evidence of difficulty.</w:t>
      </w:r>
    </w:p>
    <w:p>
      <w:pPr>
        <w:spacing w:after="160" w:line="276"/>
        <w:jc w:val="both"/>
      </w:pPr>
      <w:r>
        <w:t xml:space="preserve">The router framework gives you four categories of signal. The categories and the math that combines them are fixed. The content of each signal is yours to supply. That division is the whole picture:</w:t>
      </w:r>
    </w:p>
    <w:p>
      <w:pPr>
        <w:spacing w:after="40" w:before="80"/>
        <w:jc w:val="center"/>
      </w:pPr>
      <w:r>
        <w:drawing>
          <wp:inline distT="0" distB="0" distL="0" distR="0">
            <wp:extent cx="5715000" cy="3619500"/>
            <wp:effectExtent t="0" r="0" b="0" l="0"/>
            <wp:docPr id="1" name="fig_score_anatomy.png" descr="Figure 5. Anatomy of the difficulty score. Each of the four signal categories contributes to one weighted sum, and four cutoffs split that sum into tier bands. The categories and the math are built into the router; the signals, exemplars, weights, thresholds, and cutoffs are yours." title="Figure 5. Anatomy of the difficulty score. Each of the four signal categories contributes to one weighted sum, and four cutoffs split that sum into tier bands. The categories and the math are built into the router; the signals, exemplars, weights, thresholds, and cutoffs are y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200"/>
        <w:jc w:val="center"/>
      </w:pPr>
      <w:r>
        <w:rPr>
          <w:i/>
          <w:iCs/>
          <w:color w:val="46566b"/>
          <w:sz w:val="18"/>
          <w:szCs w:val="18"/>
        </w:rPr>
        <w:t xml:space="preserve">Figure 5. Anatomy of the difficulty score. Each of the four signal categories contributes to one weighted sum, and four cutoffs split that sum into tier bands. The categories and the math are built into the router; the signals, exemplars, weights, thresholds, and cutoffs are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Fixed by vLLM Semantic Router</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Chosen by you</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four signal categories: complexity, embeddings, structure, context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Which signals to create within each category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contrastive classifier and the embedding model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exemplar prompts that fill each signal bank</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weighted-sum and threshold-band scoring math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Each signal's weight, its sign, and its threshold</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routing decision headers returned per request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four cutoffs that separate the five tier bands</w:t>
            </w:r>
          </w:p>
        </w:tc>
      </w:tr>
    </w:tbl>
    <w:p>
      <w:pPr>
        <w:spacing w:after="120"/>
      </w:pPr>
      <w:r>
        <w:t xml:space="preserve"/>
      </w:r>
    </w:p>
    <w:p>
      <w:pPr>
        <w:spacing w:after="160" w:line="276"/>
        <w:jc w:val="both"/>
      </w:pPr>
      <w:r>
        <w:t xml:space="preserve">The four categories differ in what they measure and in whether they need exemplars: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4310"/>
        <w:gridCol w:w="1200"/>
        <w:gridCol w:w="1500"/>
      </w:tblGrid>
      <w:tr>
        <w:trPr>
          <w:cantSplit/>
          <w:tblHeader/>
        </w:trPr>
        <w:tc>
          <w:tcPr>
            <w:tcW w:type="dxa" w:w="23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Category</w:t>
            </w:r>
          </w:p>
        </w:tc>
        <w:tc>
          <w:tcPr>
            <w:tcW w:type="dxa" w:w="43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measures</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Exemplars?</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How it fires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Complexity</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Contrastive margin: how much more the prompt resembles a hard bank than an easy bank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two banks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When the margin clears its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Embeddings</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Cosine similarity between the prompt and one bank of example prompts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one bank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In proportion to similarity, above a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Structure</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Mechanical properties of the text: word count, code blocks, numbered lists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a regex or length test passes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Context</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Request facts such as token count or modality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the value falls in range</w:t>
            </w:r>
          </w:p>
        </w:tc>
      </w:tr>
    </w:tbl>
    <w:p>
      <w:pPr>
        <w:spacing w:after="120"/>
      </w:pPr>
      <w:r>
        <w:t xml:space="preserve"/>
      </w:r>
    </w:p>
    <w:p>
      <w:pPr>
        <w:spacing w:after="160" w:line="276"/>
        <w:jc w:val="both"/>
      </w:pPr>
      <w:r>
        <w:t xml:space="preserve">Complexity, structure, and context contribute in an on-or-off way: when the signal fires, it adds its weight to the score, otherwise it adds nothing. Embedding signals contribute continuously, in proportion to how closely the prompt matches their bank. A weight can be negative. A signal with a negative weight is a detractor: when it fires it pulls the score down, which is how trivial questions are anchored in the cheapest tier rather than drifting upward.</w:t>
      </w:r>
    </w:p>
    <w:p>
      <w:pPr>
        <w:spacing w:after="160" w:line="276"/>
        <w:jc w:val="both"/>
      </w:pPr>
      <w:r>
        <w:t xml:space="preserve">The configuration documented here uses one complexity signal, four embedding signals, several structure signals, and one context signal. The embedding signals are where most of the routing intelligence lives, so they are worth listing with their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cantSplit/>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Embedding signal</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Weight</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captures</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trivial_lookup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Short factual asks and definitions. A detractor that pulls difficulty down and anchors easy queries at T1.</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moderate_complexity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Explain-how, compare-and-contrast, and basic-implementation prompts that belong in T2 or T3.</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argumentative_construction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Prompts that demand a position, recommendation, or diagnosis, the T4 judgment pattern.</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frontier_synthesis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Long-form original argument and multi-domain synthesis, the T5 pattern.</w:t>
            </w:r>
          </w:p>
        </w:tc>
      </w:tr>
    </w:tbl>
    <w:p>
      <w:pPr>
        <w:spacing w:after="120"/>
      </w:pPr>
      <w:r>
        <w:t xml:space="preserve"/>
      </w:r>
    </w:p>
    <w:p>
      <w:pPr>
        <w:spacing w:after="160" w:line="276"/>
        <w:jc w:val="both"/>
      </w:pPr>
      <w:r>
        <w:t xml:space="preserve">The single complexity signal, </w:t>
      </w:r>
      <w:r>
        <w:rPr>
          <w:rFonts w:ascii="Courier New" w:cs="Courier New" w:eastAsia="Courier New" w:hAnsi="Courier New"/>
        </w:rPr>
        <w:t xml:space="preserve">query_difficulty</w:t>
      </w:r>
      <w:r>
        <w:t xml:space="preserve">, carries a weight of +0.24 and contrasts diverse hard archetypes against diverse trivial ones. The structure signals add small mechanical adjustments: a prompt under twelve words subtracts a little, a prompt over twenty-five words adds a little, a fenced code block or a numbered list adds a little. The context signal adds weight when the request needs a large context window. None of these is doing anything subtle on its own. Their value is in the sum.</w:t>
      </w:r>
    </w:p>
    <w:p>
      <w:pPr>
        <w:pStyle w:val="Heading2"/>
      </w:pPr>
      <w:r>
        <w:t xml:space="preserve">5.4 Writing exemplars</w:t>
      </w:r>
    </w:p>
    <w:p>
      <w:pPr>
        <w:spacing w:after="160" w:line="276"/>
        <w:jc w:val="both"/>
      </w:pPr>
      <w:r>
        <w:t xml:space="preserve">An exemplar is simply an example prompt you place in a bank. The router converts each one into a vector, and when a new prompt arrives it compares that prompt to the bank by similarity. You are teaching by example: this bank says “questions that look like these are hard,” that bank says “questions that look like these are trivial.” Because the banks are what the router actually compares against, the quality of your exemplars determines the quality of your routing. A small example of the two banks behind a complexity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Hard bank (raises difficulty)</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Easy bank (lowers difficulty)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Demonstrate that there are infinitely many primes.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What is the chemical symbol for sodium?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Walk through how Raft handles a split-vote scenario.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Who wrote The Great Gatsby?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Prove that a stated real number is irrational.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Define photosynthesis.</w:t>
            </w:r>
          </w:p>
        </w:tc>
      </w:tr>
    </w:tbl>
    <w:p>
      <w:pPr>
        <w:spacing w:after="120"/>
      </w:pPr>
      <w:r>
        <w:t xml:space="preserve"/>
      </w:r>
    </w:p>
    <w:p>
      <w:pPr>
        <w:spacing w:after="160" w:line="276"/>
        <w:jc w:val="both"/>
      </w:pPr>
      <w:r>
        <w:t xml:space="preserve">A handful of practices separate banks that route well from banks that do not:</w:t>
      </w:r>
    </w:p>
    <w:p>
      <w:pPr>
        <w:pStyle w:val="ListParagraph"/>
        <w:numPr>
          <w:ilvl w:val="0"/>
          <w:numId w:val="3"/>
        </w:numPr>
        <w:spacing w:after="80"/>
      </w:pPr>
      <w:r>
        <w:rPr>
          <w:b/>
          <w:bCs/>
        </w:rPr>
        <w:t xml:space="preserve">Use archetypes, not real queries. </w:t>
      </w:r>
      <w:r>
        <w:t xml:space="preserve">Fill banks with generic patterns of a difficulty class, not paraphrases of the actual prompts you expect. Ten to fifteen diverse examples per bank is enough. Copying real or test queries into the banks teaches the router to recognize those specific prompts rather than the underlying shape, which looks good in testing and fails in production.</w:t>
      </w:r>
    </w:p>
    <w:p>
      <w:pPr>
        <w:pStyle w:val="ListParagraph"/>
        <w:numPr>
          <w:ilvl w:val="0"/>
          <w:numId w:val="3"/>
        </w:numPr>
        <w:spacing w:after="80"/>
      </w:pPr>
      <w:r>
        <w:rPr>
          <w:b/>
          <w:bCs/>
        </w:rPr>
        <w:t xml:space="preserve">Cover the category broadly. </w:t>
      </w:r>
      <w:r>
        <w:t xml:space="preserve">A hard bank should span the ways a prompt can be hard: multi-step reasoning, deep domain expertise, open-ended judgment, long synthesis. Narrow banks only catch the cases you happened to think of.</w:t>
      </w:r>
    </w:p>
    <w:p>
      <w:pPr>
        <w:pStyle w:val="ListParagraph"/>
        <w:numPr>
          <w:ilvl w:val="0"/>
          <w:numId w:val="3"/>
        </w:numPr>
        <w:spacing w:after="80"/>
      </w:pPr>
      <w:r>
        <w:rPr>
          <w:b/>
          <w:bCs/>
        </w:rPr>
        <w:t xml:space="preserve">Match the length of your targets. </w:t>
      </w:r>
      <w:r>
        <w:t xml:space="preserve">The classifier compares a prompt to its nearest neighbor in the bank, and a short prompt cannot closely resemble a long one in vector space. If some hard prompts are terse, such as a one-line request to prove a number is irrational, the hard bank needs short hard examples alongside the long ones, or those prompts will be missed.</w:t>
      </w:r>
    </w:p>
    <w:p>
      <w:pPr>
        <w:pStyle w:val="ListParagraph"/>
        <w:numPr>
          <w:ilvl w:val="0"/>
          <w:numId w:val="3"/>
        </w:numPr>
        <w:spacing w:after="80"/>
      </w:pPr>
      <w:r>
        <w:rPr>
          <w:b/>
          <w:bCs/>
        </w:rPr>
        <w:t xml:space="preserve">Keep contaminating vocabulary out of the opposing bank. </w:t>
      </w:r>
      <w:r>
        <w:t xml:space="preserve">Shared wording leaks across banks. A math-flavored example placed in an easy bank raises the easy score for genuine proofs and quietly demotes them a tier. Anchor trivial cases with a separate detractor instead of polluting the easy bank.</w:t>
      </w:r>
    </w:p>
    <w:p>
      <w:pPr>
        <w:pStyle w:val="ListParagraph"/>
        <w:numPr>
          <w:ilvl w:val="0"/>
          <w:numId w:val="3"/>
        </w:numPr>
        <w:spacing w:after="160"/>
      </w:pPr>
      <w:r>
        <w:rPr>
          <w:b/>
          <w:bCs/>
        </w:rPr>
        <w:t xml:space="preserve">Use a detractor to anchor the floor. </w:t>
      </w:r>
      <w:r>
        <w:t xml:space="preserve">A negative-weight bank of short factual and lookup prompts is the most reliable way to keep trivial questions in the cheapest tier, more reliable than hoping no positive signal fires on them.</w:t>
      </w:r>
    </w:p>
    <w:p>
      <w:pPr>
        <w:pStyle w:val="Heading2"/>
      </w:pPr>
      <w:r>
        <w:t xml:space="preserve">5.5 How the score is computed: a worked example</w:t>
      </w:r>
    </w:p>
    <w:p>
      <w:pPr>
        <w:spacing w:after="160" w:line="276"/>
        <w:jc w:val="both"/>
      </w:pPr>
      <w:r>
        <w:t xml:space="preserve">Putting it together, here is how four prompts flow through the same configuration. The contributions shown are illustrative of the mechanism rather than exact classifier outputs, but the arithmetic is exactly what the router does: add the contributions, compare to the cutoffs, pick the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3500"/>
        <w:gridCol w:w="900"/>
        <w:gridCol w:w="900"/>
      </w:tblGrid>
      <w:tr>
        <w:trPr>
          <w:cantSplit/>
          <w:tblHeader/>
        </w:trPr>
        <w:tc>
          <w:tcPr>
            <w:tcW w:type="dxa" w:w="4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Prompt</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Signals that fire (contribution)</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Score</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Tier</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What is the capital of France?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trivial_lookup (-0.18), short_prompt (-0.05)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T1</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Compare TCP, UDP, and SCTP and the trade-offs of each.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moderate_complexity (+0.14)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T3</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Should we adopt this framework across the org? Take a position and defend it.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argumentative_construction (+0.18)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T4</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Construct an original argument for a non-obvious philosophical position and defend it without retreat.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query_difficulty hard (+0.24), frontier_synthesis (+0.15), long_prompt (+0.08)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0.47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T5</w:t>
            </w:r>
          </w:p>
        </w:tc>
      </w:tr>
    </w:tbl>
    <w:p>
      <w:pPr>
        <w:spacing w:after="120"/>
      </w:pPr>
      <w:r>
        <w:t xml:space="preserve"/>
      </w:r>
    </w:p>
    <w:p>
      <w:pPr>
        <w:spacing w:after="160" w:line="276"/>
        <w:jc w:val="both"/>
      </w:pPr>
      <w:r>
        <w:t xml:space="preserve">There is no hidden step. The score is the sum of the contributions, and the cutoffs decide the tier. Everything that determines a routing decision is visible in one configuration file, which is what makes the behavior debuggable and tunable rather than opaque.</w:t>
      </w:r>
    </w:p>
    <w:p>
      <w:pPr>
        <w:pStyle w:val="Heading2"/>
      </w:pPr>
      <w:r>
        <w:t xml:space="preserve">5.6 Setting the cutoffs and the bands</w:t>
      </w:r>
    </w:p>
    <w:p>
      <w:pPr>
        <w:spacing w:after="160" w:line="276"/>
        <w:jc w:val="both"/>
      </w:pPr>
      <w:r>
        <w:t xml:space="preserve">The cutoffs are the last piece. Four of them split the difficulty score into five bands, one per tier. In this configuration the cutoffs are 0.03, 0.10, 0.18, and 0.40, against a practical score range of roughly minus 0.15 to 0.70. A trivial question that strongly matches the detractor lands below the first cutoff and routes to T1. A question that fires the complexity and frontier signals together clears the top cutoff and routes to T5. The cutoffs are a blunt instrument: moving one shifts every query near it, so they are tuned last, after the signals and weights are doing their job.</w:t>
      </w:r>
    </w:p>
    <w:p>
      <w:pPr>
        <w:spacing w:after="40" w:before="80"/>
        <w:jc w:val="center"/>
      </w:pPr>
      <w:r>
        <w:drawing>
          <wp:inline distT="0" distB="0" distL="0" distR="0">
            <wp:extent cx="5715000" cy="1809750"/>
            <wp:effectExtent t="0" r="0" b="0" l="0"/>
            <wp:docPr id="1" name="fig_banding.png" descr="Figure 6. The same scoring model on a number line. Every signal feeds one weighted sum, and the four cutoffs partition that sum into the five tier bands." title="Figure 6. The same scoring model on a number line. Every signal feeds one weighted sum, and the four cutoffs partition that sum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46566b"/>
          <w:sz w:val="18"/>
          <w:szCs w:val="18"/>
        </w:rPr>
        <w:t xml:space="preserve">Figure 6. The same scoring model on a number line. Every signal feeds one weighted sum, and the four cutoffs partition that sum into the five tier bands.</w:t>
      </w:r>
    </w:p>
    <w:p>
      <w:pPr>
        <w:pStyle w:val="Heading1"/>
      </w:pPr>
      <w:r>
        <w:t xml:space="preserve">6. Tuning: an iterative process</w:t>
      </w:r>
    </w:p>
    <w:p>
      <w:pPr>
        <w:spacing w:after="160" w:line="276"/>
        <w:jc w:val="both"/>
      </w:pPr>
      <w:r>
        <w:t xml:space="preserve">A first configuration is an educated guess. Tuning is the loop that turns it into a reliable router, and it is empirical rather than analytical: you route a set of known queries, see where they land, fix the largest error, and repeat. The three surfaces you adjust all live in the one configuration file, namely the exemplar banks, the per-signal weights, and the band cutoffs. The goal of each pass is to move misrouted queries into the right band without dragging correctly-routed queries out of theirs.</w:t>
      </w:r>
    </w:p>
    <w:p>
      <w:pPr>
        <w:spacing w:after="40" w:before="80"/>
        <w:jc w:val="center"/>
      </w:pPr>
      <w:r>
        <w:drawing>
          <wp:inline distT="0" distB="0" distL="0" distR="0">
            <wp:extent cx="4095750" cy="5229225"/>
            <wp:effectExtent t="0" r="0" b="0" l="0"/>
            <wp:docPr id="1" name="fig_tuning_flow.png" descr="Figure 7. The tuning loop. Route a labeled set, measure where queries land, fix the largest error with the cheapest available lever, and re-measure. Stop when the misroutes that remain are acceptable." title="Figure 7. The tuning loop. Route a labeled set, measure where queries land, fix the largest error with the cheapest available lever, and re-measure. Stop when the misroutes that remain are ac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5229225"/>
                    </a:xfrm>
                    <a:prstGeom prst="rect">
                      <a:avLst/>
                    </a:prstGeom>
                  </pic:spPr>
                </pic:pic>
              </a:graphicData>
            </a:graphic>
          </wp:inline>
        </w:drawing>
      </w:r>
    </w:p>
    <w:p>
      <w:pPr>
        <w:spacing w:after="200"/>
        <w:jc w:val="center"/>
      </w:pPr>
      <w:r>
        <w:rPr>
          <w:i/>
          <w:iCs/>
          <w:color w:val="46566b"/>
          <w:sz w:val="18"/>
          <w:szCs w:val="18"/>
        </w:rPr>
        <w:t xml:space="preserve">Figure 7. The tuning loop. Route a labeled set, measure where queries land, fix the largest error with the cheapest available lever, and re-measure. Stop when the misroutes that remain are acceptable.</w:t>
      </w:r>
    </w:p>
    <w:p>
      <w:pPr>
        <w:spacing w:after="160" w:line="276"/>
        <w:jc w:val="both"/>
      </w:pPr>
      <w:r>
        <w:t xml:space="preserve">The loop has five steps.</w:t>
      </w:r>
    </w:p>
    <w:p>
      <w:pPr>
        <w:spacing w:after="160" w:line="276"/>
        <w:jc w:val="both"/>
      </w:pPr>
      <w:r>
        <w:rPr>
          <w:b/>
          <w:bCs/>
        </w:rPr>
        <w:t xml:space="preserve">Step 1. Assemble a labeled dev set. </w:t>
      </w:r>
      <w:r>
        <w:t xml:space="preserve">Collect a few dozen to a few hundred queries that span the full difficulty range, and tag each with the lowest tier you believe should answer it well. This is your answer key. Keep it separate from the exemplar banks, so you are never grading the router on the very examples you trained it with.</w:t>
      </w:r>
    </w:p>
    <w:p>
      <w:pPr>
        <w:spacing w:after="160" w:line="276"/>
        <w:jc w:val="both"/>
      </w:pPr>
      <w:r>
        <w:rPr>
          <w:b/>
          <w:bCs/>
        </w:rPr>
        <w:t xml:space="preserve">Step 2. Build the config and route the dev set. </w:t>
      </w:r>
      <w:r>
        <w:t xml:space="preserve">Compile the configuration and send every dev query through the router, which records the tier each one lands in. Because a routing decision does not require a real model answer, this pass is fast and inexpensive and can run against a local mock rather than paid endpoints.</w:t>
      </w:r>
    </w:p>
    <w:p>
      <w:pPr>
        <w:spacing w:after="160" w:line="276"/>
        <w:jc w:val="both"/>
      </w:pPr>
      <w:r>
        <w:rPr>
          <w:b/>
          <w:bCs/>
        </w:rPr>
        <w:t xml:space="preserve">Step 3. Measure outcomes. </w:t>
      </w:r>
      <w:r>
        <w:t xml:space="preserve">Compare where each query landed against its label, and look at the distribution across tiers. Two error types matter: an under-route, where the score came out too low and a hard query went to a small tier, and an over-route, where the score came out too high and an easy query went to an expensive one. Where you can, also judge answer adequacy, because a query that lands one tier below its label but is still answered adequately is not actually a failure.</w:t>
      </w:r>
    </w:p>
    <w:p>
      <w:pPr>
        <w:spacing w:after="160" w:line="276"/>
        <w:jc w:val="both"/>
      </w:pPr>
      <w:r>
        <w:rPr>
          <w:b/>
          <w:bCs/>
        </w:rPr>
        <w:t xml:space="preserve">Step 4. Diagnose each misroute. </w:t>
      </w:r>
      <w:r>
        <w:t xml:space="preserve">For each cluster of errors, find the signal at fault. An under-route usually means a signal that should have fired did not: the prompt resembled nothing in the relevant bank, or the threshold was set too high to clear. An over-route usually means a signal fired when it should not have: a bank was too broad, or a detractor that should have anchored the prompt was missing.</w:t>
      </w:r>
    </w:p>
    <w:p>
      <w:pPr>
        <w:spacing w:after="160" w:line="276"/>
        <w:jc w:val="both"/>
      </w:pPr>
      <w:r>
        <w:rPr>
          <w:b/>
          <w:bCs/>
        </w:rPr>
        <w:t xml:space="preserve">Step 5. Apply the smallest fix, then return to Step 2. </w:t>
      </w:r>
      <w:r>
        <w:t xml:space="preserve">Reach for the most local lever first. Add or sharpen exemplars before changing weights, and change weights before moving cutoffs. The reason is blast radius: an exemplar edit affects only prompts near it, a weight change affects every query that fires that signal, and a cutoff change moves every query at once. Make one change, recompile, and re-route. Resist changing several things between measurements, or you will not know which one helped.</w:t>
      </w:r>
    </w:p>
    <w:p>
      <w:pPr>
        <w:spacing w:after="160" w:line="276"/>
        <w:jc w:val="both"/>
      </w:pPr>
      <w:r>
        <w:t xml:space="preserve">Several recurring fixes came out of building this router and are worth keeping as a checklist.</w:t>
      </w:r>
    </w:p>
    <w:p>
      <w:pPr>
        <w:spacing w:after="160" w:line="276"/>
        <w:jc w:val="both"/>
      </w:pPr>
      <w:r>
        <w:rPr>
          <w:b/>
          <w:bCs/>
        </w:rPr>
        <w:t xml:space="preserve">Make signals discriminate, not fire constantly. </w:t>
      </w:r>
      <w:r>
        <w:t xml:space="preserve">An early version used four complexity signals that, on inspection, all reported the same middle value on every query. A signal that fires identically on all inputs carries no information and only adds noise to the sum. The fix was to replace them with a smaller set of signals of different kinds, one contrastive complexity signal, several embedding signals, and a few mechanical structure signals, because different signal types capture different evidence and together give the score real gradient.</w:t>
      </w:r>
    </w:p>
    <w:p>
      <w:pPr>
        <w:spacing w:after="160" w:line="276"/>
        <w:jc w:val="both"/>
      </w:pPr>
      <w:r>
        <w:rPr>
          <w:b/>
          <w:bCs/>
        </w:rPr>
        <w:t xml:space="preserve">Mind the contrastive margin. </w:t>
      </w:r>
      <w:r>
        <w:t xml:space="preserve">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had to be added alongside the long ones. The same care applies in reverse: any math-flavored example placed in an easy bank slightly raised the easy score for genuine proofs and flipped them down a tier, so math examples were kept out of the easy and detractor banks and trivial arithmetic was anchored with a separate detractor instead.</w:t>
      </w:r>
    </w:p>
    <w:p>
      <w:pPr>
        <w:spacing w:after="160" w:line="276"/>
        <w:jc w:val="both"/>
      </w:pPr>
      <w:r>
        <w:rPr>
          <w:b/>
          <w:bCs/>
        </w:rPr>
        <w:t xml:space="preserve">Tune weights and cutoffs against measured outcomes. </w:t>
      </w:r>
      <w:r>
        <w:t xml:space="preserve">Thresholds that look reasonable in the abstract are often unreachable in practice. One complexity threshold was originally set so high that no query ever cleared it. The working values were found empirically by routing the benchmark, reading where queries landed, and adjusting. A single weight bump, for example raising the complexity weight so that one hard match alone clears the T3-to-T4 cutoff, can correct a whole class of misroutes.</w:t>
      </w:r>
    </w:p>
    <w:p>
      <w:pPr>
        <w:spacing w:after="160" w:line="276"/>
        <w:jc w:val="both"/>
      </w:pPr>
      <w:r>
        <w:rPr>
          <w:b/>
          <w:bCs/>
        </w:rPr>
        <w:t xml:space="preserve">Judge quality, not just tier match. </w:t>
      </w:r>
      <w:r>
        <w:t xml:space="preserve">It is tempting to grade the router only on whether it hit a hand-labeled minimum tier. That label is a conservative floor, and grading against it alone is misleading. In this benchmark the router selected a tier at or above the hand-labeled minimum on 70 percent of queries, yet 98 percent of the cloud answers it produced were judged adequate by independent LLM judges. The gap means the smaller tiers answered many queries adequately that a cautious human had marked as needing a larger model. The honest measure of a router is whether the user would have been satisfied with the answer, which is what the adequacy judgment captures, and it is the metric to tune toward.</w:t>
      </w:r>
    </w:p>
    <w:p>
      <w:pPr>
        <w:spacing w:after="160" w:line="276"/>
        <w:jc w:val="both"/>
      </w:pPr>
      <w:r>
        <w:rPr>
          <w:b/>
          <w:bCs/>
        </w:rPr>
        <w:t xml:space="preserve">Know when to stop. </w:t>
      </w:r>
      <w:r>
        <w:t xml:space="preserve">Tuning has a natural end. When fixes for one query start breaking others, the configuration is near its useful limit and further changes trade one error for another. Two habits protect against over-fitting to the dev set. Keep exemplars generic rather than tailored to specific prompts, and validate the final configuration on a held-out set of queries that you never tuned against. A router that performs well on prompts it has never seen is the only kind worth shipping.</w:t>
      </w:r>
    </w:p>
    <w:p>
      <w:pPr>
        <w:pStyle w:val="Heading1"/>
      </w:pPr>
      <w:r>
        <w:t xml:space="preserve">7. Benchmark results from this system</w:t>
      </w:r>
    </w:p>
    <w:p>
      <w:pPr>
        <w:spacing w:after="160" w:line="276"/>
        <w:jc w:val="both"/>
      </w:pPr>
      <w:r>
        <w:t xml:space="preserve">The system was exercised against a curated benchmark of 797 queries spanning all five difficulty bands, with the band populations kept roughly equal so that hard queries are deliberately over-represented relative to real traffic. Every query was routed, every routed tier produced answers from each cloud model it fronts, and every routed answer was scored by two independent LLM judges against gold reference answers from the frontier tier. The reporting below covers the cloud model results only. The rubric scored four dimensions on a one-to-four scale and assigned an overall verdict of Adequate, Marginal, or Failure.</w:t>
      </w:r>
    </w:p>
    <w:p>
      <w:pPr>
        <w:pStyle w:val="Heading2"/>
      </w:pPr>
      <w:r>
        <w:t xml:space="preserve">7.1 Where traffic went</w:t>
      </w:r>
    </w:p>
    <w:p>
      <w:pPr>
        <w:spacing w:after="160" w:line="276"/>
        <w:jc w:val="both"/>
      </w:pPr>
      <w:r>
        <w:t xml:space="preserve">The router distributed the 797 queries across all five tiers. Because the benchmark over-weights hard queries, the upper tiers carry more traffic here than they would in production, where the easy tiers would dominate.</w:t>
      </w:r>
    </w:p>
    <w:p>
      <w:pPr>
        <w:spacing w:after="40" w:before="80"/>
        <w:jc w:val="center"/>
      </w:pPr>
      <w:r>
        <w:drawing>
          <wp:inline distT="0" distB="0" distL="0" distR="0">
            <wp:extent cx="5715000" cy="2800350"/>
            <wp:effectExtent t="0" r="0" b="0" l="0"/>
            <wp:docPr id="1" name="fig_distribution.png" descr="Figure 8. Routing distribution across the 797-query benchmark. The flat-by-difficulty benchmark sends more traffic to the upper tiers than production traffic would." title="Figure 8.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8. Routing distribution across the 797-query benchmark. The flat-by-difficulty benchmark sends more traffic to the upper tiers than production traffic would.</w:t>
      </w:r>
    </w:p>
    <w:p>
      <w:pPr>
        <w:pStyle w:val="Heading2"/>
      </w:pPr>
      <w:r>
        <w:t xml:space="preserve">7.2 Whether the answers were good enough</w:t>
      </w:r>
    </w:p>
    <w:p>
      <w:pPr>
        <w:spacing w:after="160" w:line="276"/>
        <w:jc w:val="both"/>
      </w:pPr>
      <w:r>
        <w:t xml:space="preserve">Across 6,268 answer-by-judge comparisons of routed cloud answers, </w:t>
      </w:r>
      <w:r>
        <w:rPr>
          <w:b/>
          <w:bCs/>
        </w:rPr>
        <w:t xml:space="preserve">98 percent were judged Adequate</w:t>
      </w:r>
      <w:r>
        <w:t xml:space="preserve">, under 2 percent Marginal, and under 1 percent Failure. Per-tier adequacy held between 96 and 100 percent, so the small tiers were not trading quality for cost: the cheapest T1 cloud models were judged adequate on essentially every query routed to them. Averaged across all routed answers, the judges scored correctness at 3.98 out of 4, completeness at 3.97, supporting-fact soundness at 3.98, and fitness for purpose at 3.58.</w:t>
      </w:r>
    </w:p>
    <w:p>
      <w:pPr>
        <w:spacing w:after="40" w:before="80"/>
        <w:jc w:val="center"/>
      </w:pPr>
      <w:r>
        <w:drawing>
          <wp:inline distT="0" distB="0" distL="0" distR="0">
            <wp:extent cx="5715000" cy="2800350"/>
            <wp:effectExtent t="0" r="0" b="0" l="0"/>
            <wp:docPr id="1" name="fig_adequacy.png" descr="Figure 9. Answer quality at the tier the router selected, cloud models only. Adequacy stays between 96 and 100 percent across tiers, so right-sizing does not cost quality." title="Figure 9. Answer quality at the tier the router selected, cloud models only. Adequacy stays between 96 and 100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9. Answer quality at the tier the router selected, cloud models only. Adequacy stays between 96 and 100 percent across tiers, so right-sizing does not cost quality.</w:t>
      </w:r>
    </w:p>
    <w:p>
      <w:pPr>
        <w:pStyle w:val="Heading2"/>
      </w:pPr>
      <w:r>
        <w:t xml:space="preserve">7.3 What it cost, and how fast</w:t>
      </w:r>
    </w:p>
    <w:p>
      <w:pPr>
        <w:spacing w:after="160" w:line="276"/>
        <w:jc w:val="both"/>
      </w:pPr>
      <w:r>
        <w:t xml:space="preserve">Cost is computed one query at a time, then averaged, then scaled by volume. For each query, the routed cost is the measured cost of the model the router actually used for the tier it picked, from real token counts at current supplier rates. The baseline cost for the same query is what it would cost sent to the frontier model instead, holding the answer length fixed at the frontier reference and applying only the frontier rate, so a pricier frontier can never look cheaper by answering tersely. This is the same per-query function the project's live replay and cost calculator use, so the paper and the live tool always agree.</w:t>
      </w:r>
    </w:p>
    <w:p>
      <w:pPr>
        <w:spacing w:after="160" w:line="276"/>
        <w:jc w:val="both"/>
      </w:pPr>
      <w:r>
        <w:t xml:space="preserve">Averaging those per-query costs over the benchmark set gives about $0.0050 per query routed against about $0.0072 per query all-frontier. How that translates into a headline number depends on the traffic distribution, so we report two.</w:t>
      </w:r>
    </w:p>
    <w:p>
      <w:pPr>
        <w:spacing w:after="160" w:line="276"/>
        <w:jc w:val="both"/>
      </w:pPr>
      <w:r>
        <w:rPr>
          <w:b/>
          <w:bCs/>
        </w:rPr>
        <w:t xml:space="preserve">Benchmark mix (even distribution). </w:t>
      </w:r>
      <w:r>
        <w:t xml:space="preserve">The benchmark spreads its queries roughly evenly across the five difficulty bands to exercise the router across the full range. On this mix, routing cut cost against the all-frontier baseline by </w:t>
      </w:r>
      <w:r>
        <w:rPr>
          <w:b/>
          <w:bCs/>
        </w:rPr>
        <w:t xml:space="preserve">31 percent</w:t>
      </w:r>
      <w:r>
        <w:t xml:space="preserve">, from about $7,192 to about $4,992 per million queries. Scaled to volume, that is about $241,000 saved per year at 300,000 queries per day, the exact figure the project's live calculator reports. This is a conservative number, because an even spread sends far more traffic to the expensive upper tiers than real usage does.</w:t>
      </w:r>
    </w:p>
    <w:p>
      <w:pPr>
        <w:spacing w:after="160" w:line="276"/>
        <w:jc w:val="both"/>
      </w:pPr>
      <w:r>
        <w:rPr>
          <w:b/>
          <w:bCs/>
        </w:rPr>
        <w:t xml:space="preserve">Simple-weighted mix (production). </w:t>
      </w:r>
      <w:r>
        <w:t xml:space="preserve">Production traffic is rarely even. The large majority of real questions are simple lookups, conversions, and short tasks, with only a thin tail of frontier-grade work, so deployments skew heavily toward the lower tiers. Re-weighting the same per-query costs to a representative easy-heavy split of 60, 20, 12, 5, and 3 percent across tiers T1 to T5, and comparing routed against all-frontier on that same mix, the saving rises to </w:t>
      </w:r>
      <w:r>
        <w:rPr>
          <w:b/>
          <w:bCs/>
        </w:rPr>
        <w:t xml:space="preserve">58 percent</w:t>
      </w:r>
      <w:r>
        <w:t xml:space="preserve">, from about $2,966 to about $1,247 per million queries. The 60/20/12/5/3 split is an illustrative estimate of typical production traffic, not a measurement of a specific deployment; an operator with their own tier distribution can substitute it and recompute with the same method.</w:t>
      </w:r>
    </w:p>
    <w:p>
      <w:pPr>
        <w:spacing w:after="160" w:line="276"/>
        <w:jc w:val="both"/>
      </w:pPr>
      <w:r>
        <w:t xml:space="preserve">The routing decision itself was cheap under either mix: mean routing latency was </w:t>
      </w:r>
      <w:r>
        <w:rPr>
          <w:b/>
          <w:bCs/>
        </w:rPr>
        <w:t xml:space="preserve">355 milliseconds</w:t>
      </w:r>
      <w:r>
        <w:t xml:space="preserve"> with a 99th percentile of 502 milliseconds, sustained at 22.5 queries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Basis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Queries benchmarked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All five difficulty bands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Routed cloud-answer judgments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6,268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judges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Adequate verdicts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Across all routed cloud answers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Per-tier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96 to 100%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Tiers T1 through T4</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benchmark mix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$7,192 to $4,992 per 1M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simple-weighted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58%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$2,966 to $1,247 per 1M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Annualized saving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~$241K/yr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At 300,000 queries/day, benchmark mix</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Mean routing latency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355 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p99 = 502 ms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Sustained throughput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22.5 qps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Concurrency 8</w:t>
            </w:r>
          </w:p>
        </w:tc>
      </w:tr>
    </w:tbl>
    <w:p>
      <w:r>
        <w:br w:type="page"/>
      </w:r>
    </w:p>
    <w:p>
      <w:pPr>
        <w:pStyle w:val="Heading1"/>
      </w:pPr>
      <w:r>
        <w:t xml:space="preserve">8. Summary and system specification</w:t>
      </w:r>
    </w:p>
    <w:p>
      <w:pPr>
        <w:spacing w:after="160" w:line="276"/>
        <w:jc w:val="both"/>
      </w:pPr>
      <w:r>
        <w:t xml:space="preserve">A semantic router earns its place by matching the cost of answering a question to the difficulty of the question. On the benchmark documented here, routing entirely across cloud models sent 98 percent of traffic to a tier whose answer independent judges accepted, while cutting blended cost by 31 percent on the benchmark mix and by 58 percent on the simple-weighted distribution typical of production traffic. At 300,000 queries per day the benchmark-mix saving is about $241,000 per year. The two cheapest tiers, which carry most production traffic, bind to the smallest hosted models at a small fraction of frontier rates, and the routing decision adds only about a third of a second. The savings come from the large, confidently-easy majority of real traffic, and they do not require giving up the frontier model on the questions that need it.</w:t>
      </w:r>
    </w:p>
    <w:p>
      <w:pPr>
        <w:spacing w:after="160" w:line="276"/>
        <w:jc w:val="both"/>
      </w:pPr>
      <w:r>
        <w:t xml:space="preserve">The architecture is deliberately portable. Tiers are capability bands, models bind to tiers through configuration, and the routing logic lives in one human-readable file. A new model is an edit, not a deployment. Every backend speaks the same OpenAI-compatible API, so a tier can be re-pointed from one vendor to another without code changes. That makes the design straightforward to adopt incrementally: stand the router in front of the existing frontier API, add the cheaper tiers, and let the easy majority of traffic flow to the smaller models while the frontier model keeps handling the rest.</w:t>
      </w:r>
    </w:p>
    <w:p>
      <w:pPr>
        <w:pStyle w:val="Heading2"/>
      </w:pPr>
      <w:r>
        <w:t xml:space="preserve">Reference deployment specification</w:t>
      </w:r>
    </w:p>
    <w:p>
      <w:pPr>
        <w:spacing w:after="160" w:line="276"/>
        <w:jc w:val="both"/>
      </w:pPr>
      <w:r>
        <w:t xml:space="preserve">The system runs as a cloud API router in front of hosted vendor models. There is no on-premises model or hardware in the benchmarked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Specification</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Router software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vLLM Semantic Router (v0.3), Envoy ingress with an external-processing classifier</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Deployment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Cloud API router; thin classification hop ahead of the vendor model call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Classifier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mmbert-embed-32k-2d-matryoshka embedding model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Supporting services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Postgres and Redis backends bundled with the router stack</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OpenAI-compatible chat-completions endpoint, in and out</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 models (frontier and gold)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Judges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LLM evaluators</w:t>
            </w:r>
          </w:p>
        </w:tc>
      </w:tr>
    </w:tbl>
    <w:p>
      <w:pPr>
        <w:spacing w:after="120"/>
      </w:pPr>
      <w:r>
        <w:t xml:space="preserve"/>
      </w:r>
    </w:p>
    <w:p>
      <w:pPr>
        <w:spacing w:after="160" w:line="276"/>
        <w:jc w:val="both"/>
      </w:pPr>
      <w:r>
        <w:t xml:space="preserve">Why this shape works: the router is a small classifier, so it sits in the request path as an inexpensive hop rather than a second model call, and every tier is a managed vendor endpoint that the operator does not have to host or scale. Because all tiers and the router speak the same OpenAI-compatible API, the entire system is a configuration change in front of an existing frontier deployment. The benchmarked results in this paper reflect that cloud-only configuration end to end.</w:t>
      </w:r>
    </w:p>
    <w:p>
      <w:pPr>
        <w:pStyle w:val="Heading1"/>
      </w:pPr>
      <w:r>
        <w:t xml:space="preserve">References</w:t>
      </w:r>
    </w:p>
    <w:p>
      <w:pPr>
        <w:spacing w:after="100"/>
      </w:pPr>
      <w:r>
        <w:rPr>
          <w:b/>
          <w:bCs/>
        </w:rPr>
        <w:t xml:space="preserve">[1] </w:t>
      </w:r>
      <w:r>
        <w:t xml:space="preserve">RouteLLM: Learning to Route LLMs with Preference Data (Ong et al., 2024). </w:t>
      </w:r>
      <w:hyperlink w:history="1" r:id="rIdpbdeuoyws_bpxoplf75i2">
        <w:r>
          <w:rPr>
            <w:rStyle w:val="Hyperlink"/>
          </w:rPr>
          <w:t xml:space="preserve">https://arxiv.org/pdf/2406.18665</w:t>
        </w:r>
      </w:hyperlink>
    </w:p>
    <w:p>
      <w:pPr>
        <w:spacing w:after="100"/>
      </w:pPr>
      <w:r>
        <w:rPr>
          <w:b/>
          <w:bCs/>
        </w:rPr>
        <w:t xml:space="preserve">[2] </w:t>
      </w:r>
      <w:r>
        <w:t xml:space="preserve">RouteLLM: An Open-Source Framework for Cost-Effective LLM Routing, LMSYS Blog (2024). </w:t>
      </w:r>
      <w:hyperlink w:history="1" r:id="rIdgvuxx3fpg_v3hqogrvff9">
        <w:r>
          <w:rPr>
            <w:rStyle w:val="Hyperlink"/>
          </w:rPr>
          <w:t xml:space="preserve">https://lmsys.org/blog/2024-07-01-routellm/</w:t>
        </w:r>
      </w:hyperlink>
    </w:p>
    <w:p>
      <w:pPr>
        <w:spacing w:after="100"/>
      </w:pPr>
      <w:r>
        <w:rPr>
          <w:b/>
          <w:bCs/>
        </w:rPr>
        <w:t xml:space="preserve">[3] </w:t>
      </w:r>
      <w:r>
        <w:t xml:space="preserve">Bringing intelligent, efficient routing to open source AI with vLLM Semantic Router, Red Hat (2025). </w:t>
      </w:r>
      <w:hyperlink w:history="1" r:id="rIdd1z3asqfvu1oozysitfnn">
        <w:r>
          <w:rPr>
            <w:rStyle w:val="Hyperlink"/>
          </w:rPr>
          <w:t xml:space="preserve">https://www.redhat.com/en/blog/bringing-intelligent-efficient-routing-open-source-ai-vllm-semantic-router</w:t>
        </w:r>
      </w:hyperlink>
    </w:p>
    <w:p>
      <w:pPr>
        <w:spacing w:after="100"/>
      </w:pPr>
      <w:r>
        <w:rPr>
          <w:b/>
          <w:bCs/>
        </w:rPr>
        <w:t xml:space="preserve">[4] </w:t>
      </w:r>
      <w:r>
        <w:t xml:space="preserve">vLLM Semantic Router: Next Phase in LLM inference, vLLM Blog (2025). </w:t>
      </w:r>
      <w:hyperlink w:history="1" r:id="rIdxrakhb3rddavphef8uq54">
        <w:r>
          <w:rPr>
            <w:rStyle w:val="Hyperlink"/>
          </w:rPr>
          <w:t xml:space="preserve">https://blog.vllm.ai/2025/09/11/semantic-router.html</w:t>
        </w:r>
      </w:hyperlink>
    </w:p>
    <w:p>
      <w:pPr>
        <w:spacing w:after="100"/>
      </w:pPr>
      <w:r>
        <w:rPr>
          <w:b/>
          <w:bCs/>
        </w:rPr>
        <w:t xml:space="preserve">[5] </w:t>
      </w:r>
      <w:r>
        <w:t xml:space="preserve">When to Reason: Semantic Router for vLLM (2025). </w:t>
      </w:r>
      <w:hyperlink w:history="1" r:id="rIdilso8ivtd5nt0t_fd2m2i">
        <w:r>
          <w:rPr>
            <w:rStyle w:val="Hyperlink"/>
          </w:rPr>
          <w:t xml:space="preserve">https://arxiv.org/pdf/2510.08731</w:t>
        </w:r>
      </w:hyperlink>
    </w:p>
    <w:p>
      <w:pPr>
        <w:spacing w:after="100"/>
      </w:pPr>
      <w:r>
        <w:rPr>
          <w:b/>
          <w:bCs/>
        </w:rPr>
        <w:t xml:space="preserve">[6] </w:t>
      </w:r>
      <w:r>
        <w:t xml:space="preserve">Building an LLM Router for High-Quality and Cost-Effective Responses, Anyscale. </w:t>
      </w:r>
      <w:hyperlink w:history="1" r:id="rIdeti4f067yg5mzdnsdw3gb">
        <w:r>
          <w:rPr>
            <w:rStyle w:val="Hyperlink"/>
          </w:rPr>
          <w:t xml:space="preserve">https://www.anyscale.com/blog/building-an-llm-router-for-high-quality-and-cost-effective-responses</w:t>
        </w:r>
      </w:hyperlink>
    </w:p>
    <w:p>
      <w:pPr>
        <w:spacing w:after="120"/>
      </w:pPr>
      <w:r>
        <w:t xml:space="preserve"/>
      </w:r>
    </w:p>
    <w:p>
      <w:r>
        <w:rPr>
          <w:i/>
          <w:iCs/>
          <w:color w:val="46566b"/>
          <w:sz w:val="18"/>
          <w:szCs w:val="18"/>
        </w:rPr>
        <w:t xml:space="preserve">Benchmark figures are computed from the project exports (demo_data.json, routed_queries_with_answers.json, evaluations.json) and supplier pricing in pricing.json. Cost figures use the project's per-query method: routed cost is the measured cost of the model used for the routed tier, and the baseline reprices each query's frontier reference answer at the frontier rate. Averages are taken over the benchmark set, then scaled by volume. This is the same calculation the live cost calculator uses, so the figures here match it. The benchmark-mix figure reflects the measured traffic directly; the simple-weighted figure re-weights the same per-query costs to an illustrative 60/20/12/5/3 distribution across tiers T1 through T5, representing easy-heavy production traffic.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6566b"/>
        <w:sz w:val="16"/>
        <w:szCs w:val="16"/>
      </w:rPr>
      <w:t xml:space="preserve">Cloud semantic routing for LLM inference  |  </w:t>
    </w:r>
    <w:r>
      <w:rPr>
        <w:color w:val="46566b"/>
        <w:sz w:val="16"/>
        <w:szCs w:val="16"/>
      </w:rPr>
      <w:t xml:space="preserve">Page </w:t>
    </w:r>
    <w:r>
      <w:rPr>
        <w:color w:val="4656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40"/>
      </w:pPr>
    </w:lvl>
  </w:abstractNum>
  <w:abstractNum w:abstractNumId="3"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7a8c" w:sz="6" w:space="4"/>
      </w:pBdr>
      <w:spacing w:after="160" w:before="300"/>
      <w:outlineLvl w:val="0"/>
    </w:pPr>
    <w:rPr>
      <w:rFonts w:ascii="Arial" w:cs="Arial" w:eastAsia="Arial" w:hAnsi="Arial"/>
      <w:b/>
      <w:bCs/>
      <w:color w:val="1b27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f7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bdeuoyws_bpxoplf75i2" Type="http://schemas.openxmlformats.org/officeDocument/2006/relationships/hyperlink" Target="https://arxiv.org/pdf/2406.18665" TargetMode="External"/><Relationship Id="rIdgvuxx3fpg_v3hqogrvff9" Type="http://schemas.openxmlformats.org/officeDocument/2006/relationships/hyperlink" Target="https://lmsys.org/blog/2024-07-01-routellm/" TargetMode="External"/><Relationship Id="rIdd1z3asqfvu1oozysitfnn" Type="http://schemas.openxmlformats.org/officeDocument/2006/relationships/hyperlink" Target="https://www.redhat.com/en/blog/bringing-intelligent-efficient-routing-open-source-ai-vllm-semantic-router" TargetMode="External"/><Relationship Id="rIdxrakhb3rddavphef8uq54" Type="http://schemas.openxmlformats.org/officeDocument/2006/relationships/hyperlink" Target="https://blog.vllm.ai/2025/09/11/semantic-router.html" TargetMode="External"/><Relationship Id="rIdilso8ivtd5nt0t_fd2m2i" Type="http://schemas.openxmlformats.org/officeDocument/2006/relationships/hyperlink" Target="https://arxiv.org/pdf/2510.08731" TargetMode="External"/><Relationship Id="rIdeti4f067yg5mzdnsdw3gb" Type="http://schemas.openxmlformats.org/officeDocument/2006/relationships/hyperlink" Target="https://www.anyscale.com/blog/building-an-llm-router-for-high-quality-and-cost-effective-responses" TargetMode="External"/><Relationship Id="rId8" Type="http://schemas.openxmlformats.org/officeDocument/2006/relationships/image" Target="media/da5b94281ea2659c0d6387dd1925642e2e590920.png"/><Relationship Id="rId9" Type="http://schemas.openxmlformats.org/officeDocument/2006/relationships/image" Target="media/b57ef447fa2322c34817fe0c1fb834823d5a1b70.png"/><Relationship Id="rId10" Type="http://schemas.openxmlformats.org/officeDocument/2006/relationships/image" Target="media/6f329549cf6221b51356afdbe7427bc6ef149ec7.png"/><Relationship Id="rId11" Type="http://schemas.openxmlformats.org/officeDocument/2006/relationships/image" Target="media/f8245c6ed045d75f5a59a20dcb74f60ca0406b8d.png"/><Relationship Id="rId12" Type="http://schemas.openxmlformats.org/officeDocument/2006/relationships/image" Target="media/b7b3b3e31a2353917e10c52b78013b85578852de.png"/><Relationship Id="rId13" Type="http://schemas.openxmlformats.org/officeDocument/2006/relationships/image" Target="media/479302ffb7ab6f1ebbee300b5edda7a360bd6889.png"/><Relationship Id="rId14" Type="http://schemas.openxmlformats.org/officeDocument/2006/relationships/image" Target="media/f7085bfec5fc7170694c8ec40c405c6766564089.png"/><Relationship Id="rId15" Type="http://schemas.openxmlformats.org/officeDocument/2006/relationships/image" Target="media/50d37a58930960b172b236a87dad3b77463e4cec.png"/><Relationship Id="rId16" Type="http://schemas.openxmlformats.org/officeDocument/2006/relationships/image" Target="media/0bfa6f2799c49841ec0751976fcf01cf2495d9b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Un-named</cp:lastModifiedBy>
  <cp:revision>1</cp:revision>
  <dcterms:created xsi:type="dcterms:W3CDTF">2026-06-16T14:17:27.668Z</dcterms:created>
  <dcterms:modified xsi:type="dcterms:W3CDTF">2026-06-16T14:17:27.668Z</dcterms:modified>
</cp:coreProperties>
</file>

<file path=docProps/custom.xml><?xml version="1.0" encoding="utf-8"?>
<Properties xmlns="http://schemas.openxmlformats.org/officeDocument/2006/custom-properties" xmlns:vt="http://schemas.openxmlformats.org/officeDocument/2006/docPropsVTypes"/>
</file>