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E5C" w:rsidRPr="00233E1A" w:rsidRDefault="00311E5C" w:rsidP="00311E5C">
      <w:pPr>
        <w:spacing w:after="120"/>
        <w:rPr>
          <w:rFonts w:ascii="Arial" w:eastAsia="MS Gothic" w:hAnsi="Arial"/>
          <w:b/>
          <w:bCs/>
          <w:i/>
          <w:color w:val="0071BC"/>
          <w:sz w:val="32"/>
          <w:szCs w:val="28"/>
          <w:lang w:val="cs-CZ"/>
        </w:rPr>
      </w:pPr>
      <w:bookmarkStart w:id="0" w:name="_Toc52077396"/>
      <w:bookmarkStart w:id="1" w:name="_GoBack"/>
      <w:bookmarkEnd w:id="1"/>
      <w:proofErr w:type="spellStart"/>
      <w:r w:rsidRPr="00233E1A">
        <w:rPr>
          <w:rFonts w:ascii="Arial" w:eastAsia="MS Gothic" w:hAnsi="Arial"/>
          <w:b/>
          <w:bCs/>
          <w:i/>
          <w:color w:val="0071BC"/>
          <w:sz w:val="32"/>
          <w:szCs w:val="28"/>
          <w:lang w:val="cs-CZ"/>
        </w:rPr>
        <w:t>Commentary</w:t>
      </w:r>
      <w:bookmarkEnd w:id="0"/>
      <w:proofErr w:type="spellEnd"/>
    </w:p>
    <w:p w:rsidR="00311E5C" w:rsidRPr="003165EC" w:rsidRDefault="00311E5C" w:rsidP="00311E5C">
      <w:pPr>
        <w:spacing w:after="240"/>
        <w:ind w:left="0" w:firstLine="709"/>
        <w:jc w:val="both"/>
        <w:rPr>
          <w:rFonts w:ascii="Arial" w:hAnsi="Arial" w:cs="Arial"/>
          <w:i/>
          <w:sz w:val="20"/>
          <w:szCs w:val="20"/>
          <w:lang w:val="en-GB"/>
        </w:rPr>
      </w:pPr>
      <w:r w:rsidRPr="00274061">
        <w:rPr>
          <w:rFonts w:ascii="Arial" w:hAnsi="Arial" w:cs="Arial"/>
          <w:i/>
          <w:sz w:val="20"/>
          <w:szCs w:val="20"/>
          <w:lang w:val="en-GB"/>
        </w:rPr>
        <w:t xml:space="preserve">In 2018 the </w:t>
      </w:r>
      <w:r w:rsidRPr="00274061">
        <w:rPr>
          <w:rFonts w:ascii="Arial" w:hAnsi="Arial" w:cs="Arial"/>
          <w:b/>
          <w:bCs/>
          <w:i/>
          <w:sz w:val="20"/>
          <w:szCs w:val="20"/>
          <w:lang w:val="en-GB"/>
        </w:rPr>
        <w:t>total amount of waste</w:t>
      </w:r>
      <w:r w:rsidRPr="00274061">
        <w:rPr>
          <w:rFonts w:ascii="Arial" w:hAnsi="Arial" w:cs="Arial"/>
          <w:i/>
          <w:sz w:val="20"/>
          <w:szCs w:val="20"/>
          <w:lang w:val="en-GB"/>
        </w:rPr>
        <w:t xml:space="preserve"> </w:t>
      </w:r>
      <w:r w:rsidRPr="00274061">
        <w:rPr>
          <w:rFonts w:ascii="Arial" w:hAnsi="Arial" w:cs="Arial"/>
          <w:b/>
          <w:bCs/>
          <w:i/>
          <w:sz w:val="20"/>
          <w:szCs w:val="20"/>
          <w:lang w:val="en-GB"/>
        </w:rPr>
        <w:t xml:space="preserve">generated in the Czech Republic </w:t>
      </w:r>
      <w:r w:rsidRPr="00274061">
        <w:rPr>
          <w:rFonts w:ascii="Arial" w:hAnsi="Arial" w:cs="Arial"/>
          <w:i/>
          <w:sz w:val="20"/>
          <w:szCs w:val="20"/>
          <w:lang w:val="en-GB"/>
        </w:rPr>
        <w:t xml:space="preserve">was </w:t>
      </w:r>
      <w:r w:rsidRPr="00274061">
        <w:rPr>
          <w:rFonts w:ascii="Arial" w:hAnsi="Arial" w:cs="Arial"/>
          <w:b/>
          <w:bCs/>
          <w:i/>
          <w:sz w:val="20"/>
          <w:szCs w:val="20"/>
          <w:lang w:val="en-GB"/>
        </w:rPr>
        <w:t>28.4 million tonnes</w:t>
      </w:r>
      <w:r w:rsidRPr="00274061">
        <w:rPr>
          <w:rFonts w:ascii="Arial" w:hAnsi="Arial" w:cs="Arial"/>
          <w:i/>
          <w:sz w:val="20"/>
          <w:szCs w:val="20"/>
          <w:lang w:val="en-GB"/>
        </w:rPr>
        <w:t xml:space="preserve"> by the statistical survey </w:t>
      </w:r>
      <w:proofErr w:type="spellStart"/>
      <w:r w:rsidRPr="00274061">
        <w:rPr>
          <w:rFonts w:ascii="Arial" w:hAnsi="Arial" w:cs="Arial"/>
          <w:i/>
          <w:sz w:val="20"/>
          <w:szCs w:val="20"/>
          <w:lang w:val="en-GB"/>
        </w:rPr>
        <w:t>Odp</w:t>
      </w:r>
      <w:proofErr w:type="spellEnd"/>
      <w:r w:rsidRPr="00274061">
        <w:rPr>
          <w:rFonts w:ascii="Arial" w:hAnsi="Arial" w:cs="Arial"/>
          <w:i/>
          <w:sz w:val="20"/>
          <w:szCs w:val="20"/>
          <w:lang w:val="en-GB"/>
        </w:rPr>
        <w:t> 5-01, which is carried out according to the Eurostat methodology. In comparison to 2017, when the waste generation reached 24.9</w:t>
      </w:r>
      <w:r w:rsidRPr="00274061">
        <w:rPr>
          <w:rFonts w:ascii="Arial" w:hAnsi="Arial" w:cs="Arial"/>
          <w:b/>
          <w:bCs/>
          <w:i/>
          <w:sz w:val="20"/>
          <w:szCs w:val="20"/>
          <w:lang w:val="en-GB"/>
        </w:rPr>
        <w:t xml:space="preserve"> </w:t>
      </w:r>
      <w:r w:rsidRPr="00274061">
        <w:rPr>
          <w:rFonts w:ascii="Arial" w:hAnsi="Arial" w:cs="Arial"/>
          <w:i/>
          <w:sz w:val="20"/>
          <w:szCs w:val="20"/>
          <w:lang w:val="en-GB"/>
        </w:rPr>
        <w:t>million tonnes, this means increases by </w:t>
      </w:r>
      <w:r w:rsidRPr="00274061">
        <w:rPr>
          <w:rFonts w:ascii="Arial" w:hAnsi="Arial" w:cs="Arial"/>
          <w:bCs/>
          <w:i/>
          <w:sz w:val="20"/>
          <w:szCs w:val="20"/>
          <w:lang w:val="en-GB"/>
        </w:rPr>
        <w:t>13.8%</w:t>
      </w:r>
      <w:r w:rsidRPr="00274061">
        <w:rPr>
          <w:rFonts w:ascii="Arial" w:hAnsi="Arial" w:cs="Arial"/>
          <w:i/>
          <w:sz w:val="20"/>
          <w:szCs w:val="20"/>
          <w:lang w:val="en-GB"/>
        </w:rPr>
        <w:t>. The hazardous waste generation accounted for 1 414 thousand tonnes, which expressed in the relative value means that the share of hazardous waste was 5% of the total amount of waste generated in 2018. Compared to 2017 generation of hazardous waste increased by 19.8%.</w:t>
      </w:r>
    </w:p>
    <w:p w:rsidR="00311E5C" w:rsidRPr="003165EC" w:rsidRDefault="00311E5C" w:rsidP="00311E5C">
      <w:pPr>
        <w:spacing w:after="120"/>
        <w:rPr>
          <w:rFonts w:ascii="Arial" w:eastAsia="MS Gothic" w:hAnsi="Arial"/>
          <w:b/>
          <w:bCs/>
          <w:i/>
          <w:color w:val="0071BC"/>
          <w:sz w:val="28"/>
          <w:szCs w:val="26"/>
          <w:lang w:val="cs-CZ"/>
        </w:rPr>
      </w:pPr>
      <w:r w:rsidRPr="003165EC">
        <w:rPr>
          <w:rFonts w:ascii="Arial" w:eastAsia="MS Gothic" w:hAnsi="Arial"/>
          <w:b/>
          <w:bCs/>
          <w:i/>
          <w:color w:val="0071BC"/>
          <w:sz w:val="28"/>
          <w:szCs w:val="26"/>
          <w:lang w:val="cs-CZ"/>
        </w:rPr>
        <w:t>1. </w:t>
      </w:r>
      <w:proofErr w:type="spellStart"/>
      <w:r w:rsidRPr="003165EC">
        <w:rPr>
          <w:rFonts w:ascii="Arial" w:eastAsia="MS Gothic" w:hAnsi="Arial"/>
          <w:b/>
          <w:bCs/>
          <w:i/>
          <w:color w:val="0071BC"/>
          <w:sz w:val="28"/>
          <w:szCs w:val="26"/>
          <w:lang w:val="cs-CZ"/>
        </w:rPr>
        <w:t>Waste</w:t>
      </w:r>
      <w:proofErr w:type="spellEnd"/>
      <w:r w:rsidRPr="003165EC">
        <w:rPr>
          <w:rFonts w:ascii="Arial" w:eastAsia="MS Gothic" w:hAnsi="Arial"/>
          <w:b/>
          <w:bCs/>
          <w:i/>
          <w:color w:val="0071BC"/>
          <w:sz w:val="28"/>
          <w:szCs w:val="26"/>
          <w:lang w:val="cs-CZ"/>
        </w:rPr>
        <w:t xml:space="preserve"> </w:t>
      </w:r>
      <w:proofErr w:type="spellStart"/>
      <w:r w:rsidRPr="003165EC">
        <w:rPr>
          <w:rFonts w:ascii="Arial" w:eastAsia="MS Gothic" w:hAnsi="Arial"/>
          <w:b/>
          <w:bCs/>
          <w:i/>
          <w:color w:val="0071BC"/>
          <w:sz w:val="28"/>
          <w:szCs w:val="26"/>
          <w:lang w:val="cs-CZ"/>
        </w:rPr>
        <w:t>generation</w:t>
      </w:r>
      <w:proofErr w:type="spellEnd"/>
      <w:r w:rsidRPr="003165EC">
        <w:rPr>
          <w:rFonts w:ascii="Arial" w:eastAsia="MS Gothic" w:hAnsi="Arial"/>
          <w:b/>
          <w:bCs/>
          <w:i/>
          <w:color w:val="0071BC"/>
          <w:sz w:val="28"/>
          <w:szCs w:val="26"/>
          <w:lang w:val="cs-CZ"/>
        </w:rPr>
        <w:t xml:space="preserve"> by </w:t>
      </w:r>
      <w:proofErr w:type="spellStart"/>
      <w:r w:rsidRPr="003165EC">
        <w:rPr>
          <w:rFonts w:ascii="Arial" w:eastAsia="MS Gothic" w:hAnsi="Arial"/>
          <w:b/>
          <w:bCs/>
          <w:i/>
          <w:color w:val="0071BC"/>
          <w:sz w:val="28"/>
          <w:szCs w:val="26"/>
          <w:lang w:val="cs-CZ"/>
        </w:rPr>
        <w:t>enterprises</w:t>
      </w:r>
      <w:proofErr w:type="spellEnd"/>
    </w:p>
    <w:p w:rsidR="00311E5C" w:rsidRPr="00274061" w:rsidRDefault="00311E5C" w:rsidP="00311E5C">
      <w:pPr>
        <w:ind w:left="0" w:firstLine="709"/>
        <w:jc w:val="both"/>
        <w:rPr>
          <w:rFonts w:ascii="Arial" w:hAnsi="Arial" w:cs="Arial"/>
          <w:i/>
          <w:sz w:val="20"/>
          <w:szCs w:val="20"/>
          <w:lang w:val="en-GB"/>
        </w:rPr>
      </w:pPr>
      <w:r w:rsidRPr="00274061">
        <w:rPr>
          <w:rFonts w:ascii="Arial" w:hAnsi="Arial" w:cs="Arial"/>
          <w:b/>
          <w:bCs/>
          <w:i/>
          <w:sz w:val="20"/>
          <w:szCs w:val="20"/>
          <w:lang w:val="en-GB"/>
        </w:rPr>
        <w:t xml:space="preserve">Activities of enterprises, </w:t>
      </w:r>
      <w:r w:rsidRPr="00274061">
        <w:rPr>
          <w:rFonts w:ascii="Arial" w:hAnsi="Arial" w:cs="Arial"/>
          <w:i/>
          <w:sz w:val="20"/>
          <w:szCs w:val="20"/>
          <w:lang w:val="en-GB"/>
        </w:rPr>
        <w:t xml:space="preserve">which are the main waste generators in the Czech Republic, </w:t>
      </w:r>
      <w:r w:rsidRPr="00274061">
        <w:rPr>
          <w:rFonts w:ascii="Arial" w:hAnsi="Arial" w:cs="Arial"/>
          <w:b/>
          <w:bCs/>
          <w:i/>
          <w:sz w:val="20"/>
          <w:szCs w:val="20"/>
          <w:lang w:val="en-GB"/>
        </w:rPr>
        <w:t xml:space="preserve">generated 24.2 million tonnes of waste </w:t>
      </w:r>
      <w:r w:rsidRPr="00274061">
        <w:rPr>
          <w:rFonts w:ascii="Arial" w:hAnsi="Arial" w:cs="Arial"/>
          <w:i/>
          <w:sz w:val="20"/>
          <w:szCs w:val="20"/>
          <w:lang w:val="en-GB"/>
        </w:rPr>
        <w:t>in 2018. The enterprises generated 1 399 thousand tonnes of the hazardous waste, which is almost the total production of the hazardous waste in the Czech Republic in that year (Table 1).</w:t>
      </w:r>
    </w:p>
    <w:p w:rsidR="00311E5C" w:rsidRPr="00274061" w:rsidRDefault="00311E5C" w:rsidP="00311E5C">
      <w:pPr>
        <w:pStyle w:val="Zkladntext"/>
        <w:ind w:left="0" w:firstLine="0"/>
        <w:rPr>
          <w:rFonts w:ascii="Arial" w:hAnsi="Arial" w:cs="Arial"/>
          <w:i/>
          <w:iCs/>
          <w:sz w:val="20"/>
          <w:szCs w:val="20"/>
          <w:lang w:val="en-GB"/>
        </w:rPr>
      </w:pPr>
      <w:r w:rsidRPr="00274061">
        <w:rPr>
          <w:rFonts w:ascii="Arial" w:hAnsi="Arial" w:cs="Arial"/>
          <w:i/>
          <w:iCs/>
          <w:sz w:val="20"/>
          <w:szCs w:val="20"/>
          <w:lang w:val="en-GB"/>
        </w:rPr>
        <w:tab/>
        <w:t>Higher waste generation was recorded in construction sector (by 29.1% to compare 2017). This increase is due to contracts in reconstructions of the railways</w:t>
      </w:r>
      <w:r>
        <w:rPr>
          <w:rFonts w:ascii="Arial" w:hAnsi="Arial" w:cs="Arial"/>
          <w:i/>
          <w:iCs/>
          <w:sz w:val="20"/>
          <w:szCs w:val="20"/>
          <w:lang w:val="en-GB"/>
        </w:rPr>
        <w:t>, which caused higher amount of </w:t>
      </w:r>
      <w:r w:rsidRPr="00274061">
        <w:rPr>
          <w:rFonts w:ascii="Arial" w:hAnsi="Arial" w:cs="Arial"/>
          <w:i/>
          <w:iCs/>
          <w:sz w:val="20"/>
          <w:szCs w:val="20"/>
          <w:lang w:val="en-GB"/>
        </w:rPr>
        <w:t>waste soils also in the transport sector. The year-on-year increase of waste generation was recorded by companies, that deals with waste management and remediation activities (from 3.6 million tonnes in 2017 to 4.3 million tonnes in 2018, increase by 19.4%).</w:t>
      </w:r>
    </w:p>
    <w:p w:rsidR="00311E5C" w:rsidRPr="00274061" w:rsidRDefault="00311E5C" w:rsidP="00311E5C">
      <w:pPr>
        <w:pStyle w:val="Zkladntext"/>
        <w:ind w:left="0" w:firstLine="686"/>
        <w:rPr>
          <w:rFonts w:ascii="Arial" w:hAnsi="Arial" w:cs="Arial"/>
          <w:i/>
          <w:iCs/>
          <w:sz w:val="20"/>
          <w:szCs w:val="20"/>
          <w:lang w:val="en-GB"/>
        </w:rPr>
      </w:pPr>
      <w:r w:rsidRPr="00274061">
        <w:rPr>
          <w:rFonts w:ascii="Arial" w:hAnsi="Arial" w:cs="Arial"/>
          <w:i/>
          <w:iCs/>
          <w:sz w:val="20"/>
          <w:szCs w:val="20"/>
          <w:lang w:val="en-GB"/>
        </w:rPr>
        <w:t>Compare the last year, relatively higher rose of waste generation was recorded in the sector agriculture, forestry and fishing (by 21.8%). However, in the absolute terms the growth wasn´t significant. Waste generation in this sector was 138 thousand tonnes in 2018.</w:t>
      </w:r>
    </w:p>
    <w:p w:rsidR="00311E5C" w:rsidRPr="00274061" w:rsidRDefault="00311E5C" w:rsidP="00311E5C">
      <w:pPr>
        <w:pStyle w:val="Zkladntext"/>
        <w:ind w:left="0" w:firstLine="686"/>
        <w:rPr>
          <w:rFonts w:ascii="Arial" w:hAnsi="Arial" w:cs="Arial"/>
          <w:i/>
          <w:iCs/>
          <w:sz w:val="20"/>
          <w:szCs w:val="20"/>
          <w:lang w:val="en-GB"/>
        </w:rPr>
      </w:pPr>
      <w:r w:rsidRPr="00274061">
        <w:rPr>
          <w:rFonts w:ascii="Arial" w:hAnsi="Arial" w:cs="Arial"/>
          <w:i/>
          <w:iCs/>
          <w:sz w:val="20"/>
          <w:szCs w:val="20"/>
          <w:lang w:val="en-GB"/>
        </w:rPr>
        <w:t>On the contrary there was decrease by 21.7% by enterprises deals with energy activities (electricity, gas, steam and air conditioning supply). This dwindling w</w:t>
      </w:r>
      <w:r>
        <w:rPr>
          <w:rFonts w:ascii="Arial" w:hAnsi="Arial" w:cs="Arial"/>
          <w:i/>
          <w:iCs/>
          <w:sz w:val="20"/>
          <w:szCs w:val="20"/>
          <w:lang w:val="en-GB"/>
        </w:rPr>
        <w:t>as caused by waste ceased to be </w:t>
      </w:r>
      <w:r w:rsidRPr="00274061">
        <w:rPr>
          <w:rFonts w:ascii="Arial" w:hAnsi="Arial" w:cs="Arial"/>
          <w:i/>
          <w:iCs/>
          <w:sz w:val="20"/>
          <w:szCs w:val="20"/>
          <w:lang w:val="en-GB"/>
        </w:rPr>
        <w:t xml:space="preserve">waste (some type of fly ash). </w:t>
      </w:r>
    </w:p>
    <w:p w:rsidR="00311E5C" w:rsidRPr="00274061" w:rsidRDefault="00311E5C" w:rsidP="00311E5C">
      <w:pPr>
        <w:pStyle w:val="Zkladntextodsazen3"/>
        <w:spacing w:after="0"/>
        <w:ind w:left="0" w:firstLine="709"/>
        <w:rPr>
          <w:i/>
          <w:iCs/>
          <w:szCs w:val="20"/>
        </w:rPr>
      </w:pPr>
      <w:r w:rsidRPr="00274061">
        <w:rPr>
          <w:i/>
          <w:iCs/>
          <w:szCs w:val="20"/>
        </w:rPr>
        <w:t>The major portion (65%) of waste generated by enterprises of all activities in 2018 consisted of construction and demolition wastes</w:t>
      </w:r>
      <w:r w:rsidRPr="00274061">
        <w:rPr>
          <w:rFonts w:ascii="ArialNarrow" w:eastAsia="Calibri" w:hAnsi="ArialNarrow" w:cs="ArialNarrow"/>
          <w:sz w:val="18"/>
          <w:szCs w:val="18"/>
        </w:rPr>
        <w:t xml:space="preserve"> </w:t>
      </w:r>
      <w:r w:rsidRPr="00274061">
        <w:rPr>
          <w:i/>
          <w:iCs/>
          <w:szCs w:val="20"/>
        </w:rPr>
        <w:t>as in the previous years, see Graph 3. In the reference year the generation of waste of Group 17 of the List of Waste was in total 15.8 million tonnes and was dominated by soil and stones, iron and steel, and concrete.</w:t>
      </w:r>
    </w:p>
    <w:p w:rsidR="00311E5C" w:rsidRPr="0088188B" w:rsidRDefault="00311E5C" w:rsidP="00311E5C">
      <w:pPr>
        <w:pStyle w:val="Zkladntextodsazen3"/>
        <w:ind w:left="0" w:firstLine="709"/>
        <w:rPr>
          <w:i/>
          <w:iCs/>
          <w:szCs w:val="20"/>
        </w:rPr>
      </w:pPr>
      <w:r w:rsidRPr="00274061">
        <w:rPr>
          <w:i/>
          <w:iCs/>
          <w:szCs w:val="20"/>
        </w:rPr>
        <w:t>The statistical survey confirmed again that a vast majority of waste from enterprises (75%) is generated in activities of 367 waste generators. These are enterprises with the waste production volume more than 10 000 tonnes per year. Although these enterprises generated 3/4 of the total amount of waste from enterprises, they represented only 2.8% of the whole population of entities generating this type of waste. Graph 12 shows the share of enterprises in the total waste generation by volume of the waste generated in the enterprise in 2018.</w:t>
      </w:r>
    </w:p>
    <w:p w:rsidR="00311E5C" w:rsidRPr="00233E1A" w:rsidRDefault="00311E5C" w:rsidP="00311E5C">
      <w:pPr>
        <w:spacing w:after="120"/>
        <w:rPr>
          <w:rFonts w:ascii="Arial" w:eastAsia="MS Gothic" w:hAnsi="Arial"/>
          <w:b/>
          <w:bCs/>
          <w:i/>
          <w:color w:val="0071BC"/>
          <w:sz w:val="28"/>
          <w:szCs w:val="26"/>
          <w:lang w:val="cs-CZ"/>
        </w:rPr>
      </w:pPr>
      <w:r w:rsidRPr="00233E1A">
        <w:rPr>
          <w:rFonts w:ascii="Arial" w:eastAsia="MS Gothic" w:hAnsi="Arial"/>
          <w:b/>
          <w:bCs/>
          <w:i/>
          <w:color w:val="0071BC"/>
          <w:sz w:val="28"/>
          <w:szCs w:val="26"/>
          <w:lang w:val="cs-CZ"/>
        </w:rPr>
        <w:t>2. </w:t>
      </w:r>
      <w:proofErr w:type="spellStart"/>
      <w:r w:rsidRPr="00233E1A">
        <w:rPr>
          <w:rFonts w:ascii="Arial" w:eastAsia="MS Gothic" w:hAnsi="Arial"/>
          <w:b/>
          <w:bCs/>
          <w:i/>
          <w:color w:val="0071BC"/>
          <w:sz w:val="28"/>
          <w:szCs w:val="26"/>
          <w:lang w:val="cs-CZ"/>
        </w:rPr>
        <w:t>Waste</w:t>
      </w:r>
      <w:proofErr w:type="spellEnd"/>
      <w:r w:rsidRPr="00233E1A">
        <w:rPr>
          <w:rFonts w:ascii="Arial" w:eastAsia="MS Gothic" w:hAnsi="Arial"/>
          <w:b/>
          <w:bCs/>
          <w:i/>
          <w:color w:val="0071BC"/>
          <w:sz w:val="28"/>
          <w:szCs w:val="26"/>
          <w:lang w:val="cs-CZ"/>
        </w:rPr>
        <w:t xml:space="preserve"> </w:t>
      </w:r>
      <w:proofErr w:type="spellStart"/>
      <w:r w:rsidRPr="00233E1A">
        <w:rPr>
          <w:rFonts w:ascii="Arial" w:eastAsia="MS Gothic" w:hAnsi="Arial"/>
          <w:b/>
          <w:bCs/>
          <w:i/>
          <w:color w:val="0071BC"/>
          <w:sz w:val="28"/>
          <w:szCs w:val="26"/>
          <w:lang w:val="cs-CZ"/>
        </w:rPr>
        <w:t>generated</w:t>
      </w:r>
      <w:proofErr w:type="spellEnd"/>
      <w:r w:rsidRPr="00233E1A">
        <w:rPr>
          <w:rFonts w:ascii="Arial" w:eastAsia="MS Gothic" w:hAnsi="Arial"/>
          <w:b/>
          <w:bCs/>
          <w:i/>
          <w:color w:val="0071BC"/>
          <w:sz w:val="28"/>
          <w:szCs w:val="26"/>
          <w:lang w:val="cs-CZ"/>
        </w:rPr>
        <w:t xml:space="preserve"> on </w:t>
      </w:r>
      <w:proofErr w:type="spellStart"/>
      <w:r w:rsidRPr="00233E1A">
        <w:rPr>
          <w:rFonts w:ascii="Arial" w:eastAsia="MS Gothic" w:hAnsi="Arial"/>
          <w:b/>
          <w:bCs/>
          <w:i/>
          <w:color w:val="0071BC"/>
          <w:sz w:val="28"/>
          <w:szCs w:val="26"/>
          <w:lang w:val="cs-CZ"/>
        </w:rPr>
        <w:t>the</w:t>
      </w:r>
      <w:proofErr w:type="spellEnd"/>
      <w:r w:rsidRPr="00233E1A">
        <w:rPr>
          <w:rFonts w:ascii="Arial" w:eastAsia="MS Gothic" w:hAnsi="Arial"/>
          <w:b/>
          <w:bCs/>
          <w:i/>
          <w:color w:val="0071BC"/>
          <w:sz w:val="28"/>
          <w:szCs w:val="26"/>
          <w:lang w:val="cs-CZ"/>
        </w:rPr>
        <w:t xml:space="preserve"> </w:t>
      </w:r>
      <w:proofErr w:type="spellStart"/>
      <w:r w:rsidRPr="00233E1A">
        <w:rPr>
          <w:rFonts w:ascii="Arial" w:eastAsia="MS Gothic" w:hAnsi="Arial"/>
          <w:b/>
          <w:bCs/>
          <w:i/>
          <w:color w:val="0071BC"/>
          <w:sz w:val="28"/>
          <w:szCs w:val="26"/>
          <w:lang w:val="cs-CZ"/>
        </w:rPr>
        <w:t>territory</w:t>
      </w:r>
      <w:proofErr w:type="spellEnd"/>
      <w:r w:rsidRPr="00233E1A">
        <w:rPr>
          <w:rFonts w:ascii="Arial" w:eastAsia="MS Gothic" w:hAnsi="Arial"/>
          <w:b/>
          <w:bCs/>
          <w:i/>
          <w:color w:val="0071BC"/>
          <w:sz w:val="28"/>
          <w:szCs w:val="26"/>
          <w:lang w:val="cs-CZ"/>
        </w:rPr>
        <w:t xml:space="preserve"> </w:t>
      </w:r>
      <w:proofErr w:type="spellStart"/>
      <w:r w:rsidRPr="00233E1A">
        <w:rPr>
          <w:rFonts w:ascii="Arial" w:eastAsia="MS Gothic" w:hAnsi="Arial"/>
          <w:b/>
          <w:bCs/>
          <w:i/>
          <w:color w:val="0071BC"/>
          <w:sz w:val="28"/>
          <w:szCs w:val="26"/>
          <w:lang w:val="cs-CZ"/>
        </w:rPr>
        <w:t>of</w:t>
      </w:r>
      <w:proofErr w:type="spellEnd"/>
      <w:r w:rsidRPr="00233E1A">
        <w:rPr>
          <w:rFonts w:ascii="Arial" w:eastAsia="MS Gothic" w:hAnsi="Arial"/>
          <w:b/>
          <w:bCs/>
          <w:i/>
          <w:color w:val="0071BC"/>
          <w:sz w:val="28"/>
          <w:szCs w:val="26"/>
          <w:lang w:val="cs-CZ"/>
        </w:rPr>
        <w:t xml:space="preserve"> </w:t>
      </w:r>
      <w:proofErr w:type="spellStart"/>
      <w:r w:rsidRPr="00233E1A">
        <w:rPr>
          <w:rFonts w:ascii="Arial" w:eastAsia="MS Gothic" w:hAnsi="Arial"/>
          <w:b/>
          <w:bCs/>
          <w:i/>
          <w:color w:val="0071BC"/>
          <w:sz w:val="28"/>
          <w:szCs w:val="26"/>
          <w:lang w:val="cs-CZ"/>
        </w:rPr>
        <w:t>municipalities</w:t>
      </w:r>
      <w:proofErr w:type="spellEnd"/>
    </w:p>
    <w:p w:rsidR="00311E5C" w:rsidRPr="00274061" w:rsidRDefault="00311E5C" w:rsidP="00311E5C">
      <w:pPr>
        <w:pStyle w:val="Zkladntextodsazen3"/>
        <w:spacing w:after="0"/>
        <w:ind w:left="0" w:firstLine="709"/>
        <w:rPr>
          <w:i/>
          <w:iCs/>
          <w:szCs w:val="20"/>
        </w:rPr>
      </w:pPr>
      <w:r>
        <w:rPr>
          <w:i/>
          <w:iCs/>
          <w:szCs w:val="20"/>
        </w:rPr>
        <w:t xml:space="preserve">According to the Decision </w:t>
      </w:r>
      <w:r w:rsidRPr="00903387">
        <w:rPr>
          <w:i/>
          <w:iCs/>
          <w:szCs w:val="20"/>
        </w:rPr>
        <w:t>2011/753/EU</w:t>
      </w:r>
      <w:r w:rsidRPr="00903387">
        <w:rPr>
          <w:bCs/>
          <w:i/>
          <w:iCs/>
          <w:szCs w:val="20"/>
        </w:rPr>
        <w:t xml:space="preserve"> </w:t>
      </w:r>
      <w:r w:rsidRPr="00A47C1C">
        <w:rPr>
          <w:bCs/>
          <w:i/>
          <w:iCs/>
          <w:szCs w:val="20"/>
        </w:rPr>
        <w:t>municipal waste</w:t>
      </w:r>
      <w:r w:rsidRPr="00903387">
        <w:rPr>
          <w:i/>
          <w:iCs/>
          <w:szCs w:val="20"/>
        </w:rPr>
        <w:t xml:space="preserve"> </w:t>
      </w:r>
      <w:r>
        <w:rPr>
          <w:i/>
          <w:iCs/>
          <w:szCs w:val="20"/>
        </w:rPr>
        <w:t>shall means household waste and </w:t>
      </w:r>
      <w:r w:rsidRPr="00903387">
        <w:rPr>
          <w:i/>
          <w:iCs/>
          <w:szCs w:val="20"/>
        </w:rPr>
        <w:t>similar waste</w:t>
      </w:r>
      <w:r>
        <w:rPr>
          <w:i/>
          <w:iCs/>
          <w:szCs w:val="20"/>
        </w:rPr>
        <w:t xml:space="preserve">, its composition is comparable to household waste, excluding production waste and waste from </w:t>
      </w:r>
      <w:r w:rsidRPr="00274061">
        <w:rPr>
          <w:i/>
          <w:iCs/>
          <w:szCs w:val="20"/>
        </w:rPr>
        <w:t>agriculture and forestry. In methodological line with the Decision mentioned above, municipal waste includes all waste generated by activity of natural persons within t</w:t>
      </w:r>
      <w:r>
        <w:rPr>
          <w:i/>
          <w:iCs/>
          <w:szCs w:val="20"/>
        </w:rPr>
        <w:t>he municipalities. It </w:t>
      </w:r>
      <w:r w:rsidRPr="00274061">
        <w:rPr>
          <w:i/>
          <w:iCs/>
          <w:szCs w:val="20"/>
        </w:rPr>
        <w:t xml:space="preserve">includes Group 20 of the List of Waste and waste generated by entities involved in municipal waste collection system, e. g. schools, offices and small traders and waste which is separately collected, Group 15 01 of the List of Waste. </w:t>
      </w:r>
    </w:p>
    <w:p w:rsidR="00311E5C" w:rsidRPr="00274061" w:rsidRDefault="00311E5C" w:rsidP="00311E5C">
      <w:pPr>
        <w:pStyle w:val="Zkladntextodsazen3"/>
        <w:spacing w:after="0"/>
        <w:ind w:left="0" w:firstLine="709"/>
        <w:rPr>
          <w:i/>
          <w:iCs/>
          <w:szCs w:val="20"/>
        </w:rPr>
      </w:pPr>
      <w:r w:rsidRPr="00274061">
        <w:rPr>
          <w:i/>
          <w:iCs/>
          <w:szCs w:val="20"/>
        </w:rPr>
        <w:t>Municipalities reported 4.2 million tonnes of waste generated in the reference year. Compared to 2017, the generation of waste from municipalities increase by 3%. Municipal waste</w:t>
      </w:r>
      <w:r>
        <w:rPr>
          <w:i/>
          <w:iCs/>
          <w:szCs w:val="20"/>
        </w:rPr>
        <w:t xml:space="preserve"> accounted for </w:t>
      </w:r>
      <w:r w:rsidRPr="00274061">
        <w:rPr>
          <w:i/>
          <w:iCs/>
          <w:szCs w:val="20"/>
        </w:rPr>
        <w:t>90% (as in the previous year). Furthermore, municipalities reported construction and demolition waste (Group 17), waste from end-of-life vehicles (Group 16), and discarded electrical, electronic equipment and components (Group 16).</w:t>
      </w:r>
    </w:p>
    <w:p w:rsidR="00311E5C" w:rsidRPr="002E7318" w:rsidRDefault="00311E5C" w:rsidP="00311E5C">
      <w:pPr>
        <w:pStyle w:val="Zkladntext3"/>
        <w:spacing w:after="240"/>
        <w:ind w:left="0" w:firstLine="709"/>
        <w:rPr>
          <w:rFonts w:cs="Arial"/>
          <w:szCs w:val="20"/>
          <w:lang w:val="en-GB"/>
        </w:rPr>
      </w:pPr>
      <w:r w:rsidRPr="00274061">
        <w:rPr>
          <w:i/>
          <w:iCs/>
          <w:szCs w:val="20"/>
          <w:lang w:val="en-GB"/>
        </w:rPr>
        <w:t xml:space="preserve">In 2018 the </w:t>
      </w:r>
      <w:r w:rsidRPr="00274061">
        <w:rPr>
          <w:b/>
          <w:i/>
          <w:iCs/>
          <w:szCs w:val="20"/>
          <w:lang w:val="en-GB"/>
        </w:rPr>
        <w:t>municipal waste generation was 3.7 million tonnes (351 kg per capita)</w:t>
      </w:r>
      <w:r w:rsidRPr="00274061">
        <w:rPr>
          <w:i/>
          <w:iCs/>
          <w:szCs w:val="20"/>
          <w:lang w:val="en-GB"/>
        </w:rPr>
        <w:t xml:space="preserve">. Out </w:t>
      </w:r>
      <w:r>
        <w:rPr>
          <w:i/>
          <w:iCs/>
          <w:szCs w:val="20"/>
          <w:lang w:val="en-GB"/>
        </w:rPr>
        <w:t>of </w:t>
      </w:r>
      <w:r w:rsidRPr="00274061">
        <w:rPr>
          <w:i/>
          <w:iCs/>
          <w:szCs w:val="20"/>
          <w:lang w:val="en-GB"/>
        </w:rPr>
        <w:t xml:space="preserve">that the major portion of 56% was the common collection of waste (waste from dustbins, containers, or waste bags), waste components collected separately (glass, paper, plastics) contributed by 16%, and bulky waste (carpets, furniture) accounted for 11%. The share of waste components collected separately in the total generation of municipal waste has been permanently growing since 2002. While in 2002 there were altogether separately collected 16 kg of plastics, glass, paper, and metals per capita, then, in 2018, it was 57 kg per capita. Being concrete, the generation of components collected separately per capita consisted of 17 kg of paper, 13 kg of glass, 14 kg of plastics, 4 kg of metals and 9 kg </w:t>
      </w:r>
      <w:r w:rsidRPr="00274061">
        <w:rPr>
          <w:rFonts w:cs="Arial"/>
          <w:i/>
          <w:szCs w:val="20"/>
          <w:lang w:val="en-GB"/>
        </w:rPr>
        <w:t>of</w:t>
      </w:r>
      <w:r w:rsidRPr="00274061">
        <w:rPr>
          <w:i/>
          <w:iCs/>
          <w:szCs w:val="20"/>
          <w:lang w:val="en-GB"/>
        </w:rPr>
        <w:t> other waste (see Table 6 and Graph 5 and 6).</w:t>
      </w:r>
    </w:p>
    <w:p w:rsidR="00311E5C" w:rsidRPr="00233E1A" w:rsidRDefault="00311E5C" w:rsidP="00311E5C">
      <w:pPr>
        <w:spacing w:after="120"/>
        <w:rPr>
          <w:rFonts w:ascii="Arial" w:eastAsia="MS Gothic" w:hAnsi="Arial"/>
          <w:b/>
          <w:bCs/>
          <w:i/>
          <w:color w:val="0071BC"/>
          <w:sz w:val="28"/>
          <w:szCs w:val="26"/>
          <w:lang w:val="cs-CZ"/>
        </w:rPr>
      </w:pPr>
      <w:r>
        <w:rPr>
          <w:rFonts w:ascii="Arial" w:eastAsia="MS Gothic" w:hAnsi="Arial"/>
          <w:b/>
          <w:bCs/>
          <w:i/>
          <w:color w:val="0071BC"/>
          <w:sz w:val="28"/>
          <w:szCs w:val="26"/>
          <w:lang w:val="cs-CZ"/>
        </w:rPr>
        <w:br w:type="page"/>
      </w:r>
      <w:r>
        <w:rPr>
          <w:rFonts w:ascii="Arial" w:eastAsia="MS Gothic" w:hAnsi="Arial"/>
          <w:b/>
          <w:bCs/>
          <w:i/>
          <w:color w:val="0071BC"/>
          <w:sz w:val="28"/>
          <w:szCs w:val="26"/>
          <w:lang w:val="cs-CZ"/>
        </w:rPr>
        <w:lastRenderedPageBreak/>
        <w:t>3</w:t>
      </w:r>
      <w:r w:rsidRPr="00665BD6">
        <w:rPr>
          <w:rFonts w:ascii="Arial" w:eastAsia="MS Gothic" w:hAnsi="Arial"/>
          <w:b/>
          <w:bCs/>
          <w:i/>
          <w:color w:val="0071BC"/>
          <w:sz w:val="28"/>
          <w:szCs w:val="26"/>
          <w:lang w:val="en-GB"/>
        </w:rPr>
        <w:t>. Waste management</w:t>
      </w:r>
    </w:p>
    <w:p w:rsidR="00311E5C" w:rsidRPr="00274061" w:rsidRDefault="00311E5C" w:rsidP="00311E5C">
      <w:pPr>
        <w:spacing w:after="120"/>
        <w:ind w:left="0" w:firstLine="709"/>
        <w:jc w:val="both"/>
        <w:rPr>
          <w:rFonts w:ascii="Arial" w:hAnsi="Arial" w:cs="Arial"/>
          <w:bCs/>
          <w:i/>
          <w:sz w:val="20"/>
          <w:szCs w:val="20"/>
          <w:lang w:val="en-GB"/>
        </w:rPr>
      </w:pPr>
      <w:r w:rsidRPr="003165EC">
        <w:rPr>
          <w:rFonts w:ascii="Arial" w:hAnsi="Arial" w:cs="Arial"/>
          <w:bCs/>
          <w:i/>
          <w:sz w:val="20"/>
          <w:szCs w:val="20"/>
          <w:lang w:val="en-GB"/>
        </w:rPr>
        <w:t xml:space="preserve">According to the European legislation (the Regulation of the European Parliament and Council No 2150/2002/EC on waste statistics) waste management distinguishes two groups of </w:t>
      </w:r>
      <w:r w:rsidRPr="003165EC">
        <w:rPr>
          <w:rFonts w:ascii="Arial" w:hAnsi="Arial" w:cs="Arial"/>
          <w:b/>
          <w:bCs/>
          <w:i/>
          <w:sz w:val="20"/>
          <w:szCs w:val="20"/>
          <w:lang w:val="en-GB"/>
        </w:rPr>
        <w:t>waste management operations</w:t>
      </w:r>
      <w:r>
        <w:rPr>
          <w:rFonts w:ascii="Arial" w:hAnsi="Arial" w:cs="Arial"/>
          <w:b/>
          <w:bCs/>
          <w:i/>
          <w:sz w:val="20"/>
          <w:szCs w:val="20"/>
          <w:lang w:val="en-GB"/>
        </w:rPr>
        <w:t>:</w:t>
      </w:r>
      <w:r w:rsidRPr="003165EC">
        <w:rPr>
          <w:rFonts w:ascii="Arial" w:hAnsi="Arial" w:cs="Arial"/>
          <w:bCs/>
          <w:i/>
          <w:sz w:val="20"/>
          <w:szCs w:val="20"/>
          <w:lang w:val="en-GB"/>
        </w:rPr>
        <w:t xml:space="preserve"> </w:t>
      </w:r>
      <w:r w:rsidRPr="003165EC">
        <w:rPr>
          <w:rFonts w:ascii="Arial" w:hAnsi="Arial" w:cs="Arial"/>
          <w:b/>
          <w:i/>
          <w:sz w:val="20"/>
          <w:szCs w:val="20"/>
          <w:lang w:val="en-GB"/>
        </w:rPr>
        <w:t>recovery</w:t>
      </w:r>
      <w:r>
        <w:rPr>
          <w:rFonts w:ascii="Arial" w:hAnsi="Arial" w:cs="Arial"/>
          <w:bCs/>
          <w:i/>
          <w:sz w:val="20"/>
          <w:szCs w:val="20"/>
          <w:lang w:val="en-GB"/>
        </w:rPr>
        <w:t xml:space="preserve"> (R-codes) and</w:t>
      </w:r>
      <w:r w:rsidRPr="003165EC">
        <w:rPr>
          <w:rFonts w:ascii="Arial" w:hAnsi="Arial" w:cs="Arial"/>
          <w:bCs/>
          <w:i/>
          <w:sz w:val="20"/>
          <w:szCs w:val="20"/>
          <w:lang w:val="en-GB"/>
        </w:rPr>
        <w:t xml:space="preserve"> </w:t>
      </w:r>
      <w:r w:rsidRPr="003165EC">
        <w:rPr>
          <w:rFonts w:ascii="Arial" w:hAnsi="Arial" w:cs="Arial"/>
          <w:b/>
          <w:i/>
          <w:sz w:val="20"/>
          <w:szCs w:val="20"/>
          <w:lang w:val="en-GB"/>
        </w:rPr>
        <w:t>disposal</w:t>
      </w:r>
      <w:r w:rsidRPr="003165EC">
        <w:rPr>
          <w:rFonts w:ascii="Arial" w:hAnsi="Arial" w:cs="Arial"/>
          <w:bCs/>
          <w:i/>
          <w:sz w:val="20"/>
          <w:szCs w:val="20"/>
          <w:lang w:val="en-GB"/>
        </w:rPr>
        <w:t xml:space="preserve"> (D-codes). The amount of waste managed in the reference period is, as a rule, higher than the amount of waste</w:t>
      </w:r>
      <w:r>
        <w:rPr>
          <w:rFonts w:ascii="Arial" w:hAnsi="Arial" w:cs="Arial"/>
          <w:bCs/>
          <w:i/>
          <w:sz w:val="20"/>
          <w:szCs w:val="20"/>
          <w:lang w:val="en-GB"/>
        </w:rPr>
        <w:t xml:space="preserve"> generated during the </w:t>
      </w:r>
      <w:r w:rsidRPr="003165EC">
        <w:rPr>
          <w:rFonts w:ascii="Arial" w:hAnsi="Arial" w:cs="Arial"/>
          <w:bCs/>
          <w:i/>
          <w:sz w:val="20"/>
          <w:szCs w:val="20"/>
          <w:lang w:val="en-GB"/>
        </w:rPr>
        <w:t xml:space="preserve">same period. This is, first of all, due to waste </w:t>
      </w:r>
      <w:r w:rsidRPr="00274061">
        <w:rPr>
          <w:rFonts w:ascii="Arial" w:hAnsi="Arial" w:cs="Arial"/>
          <w:bCs/>
          <w:i/>
          <w:sz w:val="20"/>
          <w:szCs w:val="20"/>
          <w:lang w:val="en-GB"/>
        </w:rPr>
        <w:t>imported from abroad and waste taken from storage. The indicator value is also increased because of multiple managem</w:t>
      </w:r>
      <w:r>
        <w:rPr>
          <w:rFonts w:ascii="Arial" w:hAnsi="Arial" w:cs="Arial"/>
          <w:bCs/>
          <w:i/>
          <w:sz w:val="20"/>
          <w:szCs w:val="20"/>
          <w:lang w:val="en-GB"/>
        </w:rPr>
        <w:t>ent operations and transfers to </w:t>
      </w:r>
      <w:r w:rsidRPr="00274061">
        <w:rPr>
          <w:rFonts w:ascii="Arial" w:hAnsi="Arial" w:cs="Arial"/>
          <w:bCs/>
          <w:i/>
          <w:sz w:val="20"/>
          <w:szCs w:val="20"/>
          <w:lang w:val="en-GB"/>
        </w:rPr>
        <w:t xml:space="preserve">other persons. </w:t>
      </w:r>
    </w:p>
    <w:p w:rsidR="00311E5C" w:rsidRPr="00274061" w:rsidRDefault="00311E5C" w:rsidP="00311E5C">
      <w:pPr>
        <w:ind w:left="0" w:firstLine="709"/>
        <w:jc w:val="both"/>
        <w:rPr>
          <w:rFonts w:ascii="Arial" w:hAnsi="Arial" w:cs="Arial"/>
          <w:i/>
          <w:sz w:val="20"/>
          <w:szCs w:val="20"/>
          <w:lang w:val="en-GB"/>
        </w:rPr>
      </w:pPr>
      <w:r w:rsidRPr="00274061">
        <w:rPr>
          <w:rFonts w:ascii="Arial" w:hAnsi="Arial" w:cs="Arial"/>
          <w:i/>
          <w:sz w:val="20"/>
          <w:szCs w:val="20"/>
          <w:lang w:val="en-GB"/>
        </w:rPr>
        <w:t xml:space="preserve">In 2018 there were 38.7 million tonnes of waste managed in total. Out of that, </w:t>
      </w:r>
      <w:r w:rsidRPr="00274061">
        <w:rPr>
          <w:rFonts w:ascii="Arial" w:hAnsi="Arial" w:cs="Arial"/>
          <w:b/>
          <w:i/>
          <w:sz w:val="20"/>
          <w:szCs w:val="20"/>
          <w:lang w:val="en-GB"/>
        </w:rPr>
        <w:t>19.7 million tonnes were recovered</w:t>
      </w:r>
      <w:r w:rsidRPr="00274061">
        <w:rPr>
          <w:rFonts w:ascii="Arial" w:hAnsi="Arial" w:cs="Arial"/>
          <w:i/>
          <w:sz w:val="20"/>
          <w:szCs w:val="20"/>
          <w:lang w:val="en-GB"/>
        </w:rPr>
        <w:t>. 1.1 million tonnes of waste were used as a fuel, or for another energy recovery. 6.4 million tonnes of waste were used for backfilling (mostly excavated soil and construction and demolition waste Group 17 of the List of Waste). 12.2 million tonnes of waste were recovered (excluding energy recovery), from which 10.1 million tonnes were recycled and 542 thousand tonnes of biodegradable waste were used for composting.</w:t>
      </w:r>
    </w:p>
    <w:p w:rsidR="00311E5C" w:rsidRPr="00274061" w:rsidRDefault="00311E5C" w:rsidP="00311E5C">
      <w:pPr>
        <w:ind w:left="0" w:firstLine="709"/>
        <w:jc w:val="both"/>
        <w:rPr>
          <w:rFonts w:ascii="Arial" w:hAnsi="Arial" w:cs="Arial"/>
          <w:i/>
          <w:sz w:val="20"/>
          <w:szCs w:val="20"/>
          <w:lang w:val="en-GB"/>
        </w:rPr>
      </w:pPr>
      <w:r w:rsidRPr="00274061">
        <w:rPr>
          <w:rFonts w:ascii="Arial" w:hAnsi="Arial" w:cs="Arial"/>
          <w:i/>
          <w:sz w:val="20"/>
          <w:szCs w:val="20"/>
          <w:lang w:val="en-GB"/>
        </w:rPr>
        <w:t>In comparison to 2017 the amount of recycling waste increased by 18.1% and </w:t>
      </w:r>
      <w:r>
        <w:rPr>
          <w:rFonts w:ascii="Arial" w:hAnsi="Arial" w:cs="Arial"/>
          <w:i/>
          <w:sz w:val="20"/>
          <w:szCs w:val="20"/>
          <w:lang w:val="en-GB"/>
        </w:rPr>
        <w:t>composting by </w:t>
      </w:r>
      <w:r w:rsidRPr="00274061">
        <w:rPr>
          <w:rFonts w:ascii="Arial" w:hAnsi="Arial" w:cs="Arial"/>
          <w:i/>
          <w:sz w:val="20"/>
          <w:szCs w:val="20"/>
          <w:lang w:val="en-GB"/>
        </w:rPr>
        <w:t xml:space="preserve">4.7%. On the contrary there was year-to-year decrease of the energy recovery by 2.3%. </w:t>
      </w:r>
    </w:p>
    <w:p w:rsidR="00311E5C" w:rsidRPr="003165EC" w:rsidRDefault="00311E5C" w:rsidP="00311E5C">
      <w:pPr>
        <w:ind w:left="0" w:firstLine="709"/>
        <w:jc w:val="both"/>
        <w:rPr>
          <w:rFonts w:ascii="Arial" w:hAnsi="Arial" w:cs="Arial"/>
          <w:i/>
          <w:sz w:val="20"/>
          <w:szCs w:val="20"/>
          <w:lang w:val="en-GB"/>
        </w:rPr>
      </w:pPr>
      <w:r w:rsidRPr="00274061">
        <w:rPr>
          <w:rFonts w:ascii="Arial" w:hAnsi="Arial" w:cs="Arial"/>
          <w:i/>
          <w:sz w:val="20"/>
          <w:szCs w:val="20"/>
          <w:lang w:val="en-GB"/>
        </w:rPr>
        <w:t xml:space="preserve">In 2018 </w:t>
      </w:r>
      <w:r w:rsidRPr="00274061">
        <w:rPr>
          <w:rFonts w:ascii="Arial" w:hAnsi="Arial" w:cs="Arial"/>
          <w:b/>
          <w:i/>
          <w:sz w:val="20"/>
          <w:szCs w:val="20"/>
          <w:lang w:val="en-GB"/>
        </w:rPr>
        <w:t>4.7 million tonnes of waste were disposed</w:t>
      </w:r>
      <w:r w:rsidRPr="00274061">
        <w:rPr>
          <w:rFonts w:ascii="Arial" w:hAnsi="Arial" w:cs="Arial"/>
          <w:i/>
          <w:sz w:val="20"/>
          <w:szCs w:val="20"/>
          <w:lang w:val="en-GB"/>
        </w:rPr>
        <w:t xml:space="preserve"> in total. The major part 4.6 million tonnes of waste were landfilled, it means year-to-year increase by 30.4%. For more details, see Table 8.</w:t>
      </w:r>
    </w:p>
    <w:p w:rsidR="00311E5C" w:rsidRPr="003165EC" w:rsidRDefault="00311E5C" w:rsidP="00311E5C">
      <w:pPr>
        <w:ind w:left="0" w:firstLine="709"/>
        <w:jc w:val="both"/>
        <w:rPr>
          <w:rFonts w:ascii="Arial" w:hAnsi="Arial" w:cs="Arial"/>
          <w:i/>
          <w:sz w:val="20"/>
          <w:szCs w:val="20"/>
          <w:lang w:val="en-GB"/>
        </w:rPr>
      </w:pPr>
    </w:p>
    <w:p w:rsidR="00311E5C" w:rsidRPr="003165EC" w:rsidRDefault="00311E5C" w:rsidP="00311E5C">
      <w:pPr>
        <w:spacing w:after="120"/>
        <w:rPr>
          <w:rFonts w:ascii="Arial" w:eastAsia="MS Gothic" w:hAnsi="Arial"/>
          <w:b/>
          <w:bCs/>
          <w:i/>
          <w:color w:val="0071BC"/>
          <w:sz w:val="28"/>
          <w:szCs w:val="26"/>
          <w:lang w:val="cs-CZ"/>
        </w:rPr>
      </w:pPr>
      <w:r w:rsidRPr="003165EC">
        <w:rPr>
          <w:rFonts w:ascii="Arial" w:eastAsia="MS Gothic" w:hAnsi="Arial"/>
          <w:b/>
          <w:bCs/>
          <w:i/>
          <w:color w:val="0071BC"/>
          <w:sz w:val="28"/>
          <w:szCs w:val="26"/>
          <w:lang w:val="cs-CZ"/>
        </w:rPr>
        <w:t>4. </w:t>
      </w:r>
      <w:r w:rsidRPr="003165EC">
        <w:rPr>
          <w:rFonts w:ascii="Arial" w:eastAsia="MS Gothic" w:hAnsi="Arial"/>
          <w:b/>
          <w:bCs/>
          <w:i/>
          <w:color w:val="0071BC"/>
          <w:sz w:val="28"/>
          <w:szCs w:val="26"/>
          <w:lang w:val="en-GB"/>
        </w:rPr>
        <w:t>Import and export of waste</w:t>
      </w:r>
    </w:p>
    <w:p w:rsidR="00311E5C" w:rsidRPr="00274061" w:rsidRDefault="00311E5C" w:rsidP="00311E5C">
      <w:pPr>
        <w:autoSpaceDE w:val="0"/>
        <w:autoSpaceDN w:val="0"/>
        <w:adjustRightInd w:val="0"/>
        <w:ind w:left="0" w:firstLine="709"/>
        <w:jc w:val="both"/>
        <w:rPr>
          <w:rFonts w:ascii="Arial" w:hAnsi="Arial" w:cs="Arial"/>
          <w:i/>
          <w:sz w:val="20"/>
          <w:szCs w:val="20"/>
          <w:lang w:val="en-GB"/>
        </w:rPr>
      </w:pPr>
      <w:r w:rsidRPr="00274061">
        <w:rPr>
          <w:rFonts w:ascii="Arial" w:hAnsi="Arial" w:cs="Arial"/>
          <w:i/>
          <w:sz w:val="20"/>
          <w:szCs w:val="20"/>
          <w:lang w:val="en-GB"/>
        </w:rPr>
        <w:t xml:space="preserve">Besides the information on the generation and treatment of waste, the survey also every year provides annual results on the cross-border movement of waste. Since 2004 export and import of waste have been long-term monitored by basic categories of waste (hazardous and non-hazardous) and, furthermore, from the view of the trade direction (within the EU, outside the EU). </w:t>
      </w:r>
    </w:p>
    <w:p w:rsidR="00311E5C" w:rsidRPr="00274061" w:rsidRDefault="00311E5C" w:rsidP="00311E5C">
      <w:pPr>
        <w:autoSpaceDE w:val="0"/>
        <w:autoSpaceDN w:val="0"/>
        <w:adjustRightInd w:val="0"/>
        <w:ind w:left="0" w:firstLine="709"/>
        <w:jc w:val="both"/>
        <w:rPr>
          <w:rFonts w:ascii="Arial" w:hAnsi="Arial" w:cs="Arial"/>
          <w:i/>
          <w:sz w:val="20"/>
          <w:szCs w:val="20"/>
          <w:lang w:val="en-GB"/>
        </w:rPr>
      </w:pPr>
      <w:r w:rsidRPr="00274061">
        <w:rPr>
          <w:rFonts w:ascii="Arial" w:hAnsi="Arial" w:cs="Arial"/>
          <w:i/>
          <w:sz w:val="20"/>
          <w:szCs w:val="20"/>
          <w:lang w:val="en-GB"/>
        </w:rPr>
        <w:t xml:space="preserve">In 2018 the </w:t>
      </w:r>
      <w:r w:rsidRPr="00274061">
        <w:rPr>
          <w:rFonts w:ascii="Arial" w:hAnsi="Arial" w:cs="Arial"/>
          <w:b/>
          <w:bCs/>
          <w:i/>
          <w:sz w:val="20"/>
          <w:szCs w:val="20"/>
          <w:lang w:val="en-GB"/>
        </w:rPr>
        <w:t>Czech Republic imported 2.2 million tonnes</w:t>
      </w:r>
      <w:r w:rsidRPr="00274061">
        <w:rPr>
          <w:rFonts w:ascii="Arial" w:hAnsi="Arial" w:cs="Arial"/>
          <w:i/>
          <w:sz w:val="20"/>
          <w:szCs w:val="20"/>
          <w:lang w:val="en-GB"/>
        </w:rPr>
        <w:t xml:space="preserve"> of waste. A vast majority (98%) of import originated from the EU Member States. Compared to 2017, the import of waste decreased by 3.8%.</w:t>
      </w:r>
    </w:p>
    <w:p w:rsidR="00311E5C" w:rsidRPr="003165EC" w:rsidRDefault="00311E5C" w:rsidP="00311E5C">
      <w:pPr>
        <w:autoSpaceDE w:val="0"/>
        <w:autoSpaceDN w:val="0"/>
        <w:adjustRightInd w:val="0"/>
        <w:ind w:left="0" w:firstLine="709"/>
        <w:jc w:val="both"/>
        <w:rPr>
          <w:rFonts w:ascii="Arial" w:hAnsi="Arial" w:cs="Arial"/>
          <w:i/>
          <w:sz w:val="20"/>
          <w:szCs w:val="20"/>
          <w:lang w:val="en-GB"/>
        </w:rPr>
      </w:pPr>
      <w:r w:rsidRPr="00274061">
        <w:rPr>
          <w:rFonts w:ascii="Arial" w:hAnsi="Arial" w:cs="Arial"/>
          <w:i/>
          <w:sz w:val="20"/>
          <w:szCs w:val="20"/>
          <w:lang w:val="en-GB"/>
        </w:rPr>
        <w:t>In the reference period</w:t>
      </w:r>
      <w:r w:rsidRPr="00274061">
        <w:rPr>
          <w:rFonts w:ascii="Arial" w:hAnsi="Arial" w:cs="Arial"/>
          <w:b/>
          <w:bCs/>
          <w:i/>
          <w:sz w:val="20"/>
          <w:szCs w:val="20"/>
          <w:lang w:val="en-GB"/>
        </w:rPr>
        <w:t xml:space="preserve"> exports of waste</w:t>
      </w:r>
      <w:r w:rsidRPr="00274061">
        <w:rPr>
          <w:rFonts w:ascii="Arial" w:hAnsi="Arial" w:cs="Arial"/>
          <w:i/>
          <w:sz w:val="20"/>
          <w:szCs w:val="20"/>
          <w:lang w:val="en-GB"/>
        </w:rPr>
        <w:t xml:space="preserve"> amounted to </w:t>
      </w:r>
      <w:r w:rsidRPr="00274061">
        <w:rPr>
          <w:rFonts w:ascii="Arial" w:hAnsi="Arial" w:cs="Arial"/>
          <w:b/>
          <w:bCs/>
          <w:i/>
          <w:sz w:val="20"/>
          <w:szCs w:val="20"/>
          <w:lang w:val="en-GB"/>
        </w:rPr>
        <w:t>3.2 million tonnes</w:t>
      </w:r>
      <w:r w:rsidRPr="00274061">
        <w:rPr>
          <w:rFonts w:ascii="Arial" w:hAnsi="Arial" w:cs="Arial"/>
          <w:bCs/>
          <w:i/>
          <w:sz w:val="20"/>
          <w:szCs w:val="20"/>
          <w:lang w:val="en-GB"/>
        </w:rPr>
        <w:t xml:space="preserve"> and</w:t>
      </w:r>
      <w:r w:rsidRPr="00274061">
        <w:rPr>
          <w:rFonts w:ascii="Arial" w:hAnsi="Arial" w:cs="Arial"/>
          <w:i/>
          <w:sz w:val="20"/>
          <w:szCs w:val="20"/>
          <w:lang w:val="en-GB"/>
        </w:rPr>
        <w:t xml:space="preserve"> almost all the exports were heading to some of the EU Member States (99%). Compared to 2017 export increased by 4.7%. The largest portion of export (39%) consisted of ferrous metals from construction (Group 17 by the List of Waste). 24% represented waste from the mechanical waste treatment (Group 19), mainly treated ferrous metals, plastics, paper and cardboard. Other important export commodities were packaging waste (12%), especially paper and cardboard (Group 15), see Graph 11.</w:t>
      </w:r>
    </w:p>
    <w:p w:rsidR="00311E5C" w:rsidRPr="003165EC" w:rsidRDefault="00311E5C" w:rsidP="00311E5C">
      <w:pPr>
        <w:autoSpaceDE w:val="0"/>
        <w:autoSpaceDN w:val="0"/>
        <w:adjustRightInd w:val="0"/>
        <w:ind w:left="0" w:firstLine="709"/>
        <w:jc w:val="both"/>
        <w:rPr>
          <w:rFonts w:ascii="Arial" w:hAnsi="Arial" w:cs="Arial"/>
          <w:i/>
          <w:sz w:val="20"/>
          <w:szCs w:val="20"/>
          <w:lang w:val="en-GB"/>
        </w:rPr>
      </w:pPr>
    </w:p>
    <w:p w:rsidR="00311E5C" w:rsidRPr="00233E1A" w:rsidRDefault="00311E5C" w:rsidP="00311E5C">
      <w:pPr>
        <w:spacing w:after="120"/>
        <w:rPr>
          <w:rFonts w:ascii="Arial" w:eastAsia="MS Gothic" w:hAnsi="Arial"/>
          <w:b/>
          <w:bCs/>
          <w:i/>
          <w:color w:val="0071BC"/>
          <w:sz w:val="28"/>
          <w:szCs w:val="26"/>
          <w:lang w:val="cs-CZ"/>
        </w:rPr>
      </w:pPr>
      <w:r w:rsidRPr="00233E1A">
        <w:rPr>
          <w:rFonts w:ascii="Arial" w:eastAsia="MS Gothic" w:hAnsi="Arial"/>
          <w:b/>
          <w:bCs/>
          <w:i/>
          <w:color w:val="0071BC"/>
          <w:sz w:val="28"/>
          <w:szCs w:val="26"/>
          <w:lang w:val="cs-CZ"/>
        </w:rPr>
        <w:t xml:space="preserve">5. </w:t>
      </w:r>
      <w:proofErr w:type="spellStart"/>
      <w:r w:rsidRPr="00233E1A">
        <w:rPr>
          <w:rFonts w:ascii="Arial" w:eastAsia="MS Gothic" w:hAnsi="Arial"/>
          <w:b/>
          <w:bCs/>
          <w:i/>
          <w:color w:val="0071BC"/>
          <w:sz w:val="28"/>
          <w:szCs w:val="26"/>
          <w:lang w:val="cs-CZ"/>
        </w:rPr>
        <w:t>Generation</w:t>
      </w:r>
      <w:proofErr w:type="spellEnd"/>
      <w:r w:rsidRPr="00233E1A">
        <w:rPr>
          <w:rFonts w:ascii="Arial" w:eastAsia="MS Gothic" w:hAnsi="Arial"/>
          <w:b/>
          <w:bCs/>
          <w:i/>
          <w:color w:val="0071BC"/>
          <w:sz w:val="28"/>
          <w:szCs w:val="26"/>
          <w:lang w:val="cs-CZ"/>
        </w:rPr>
        <w:t xml:space="preserve"> </w:t>
      </w:r>
      <w:proofErr w:type="spellStart"/>
      <w:r w:rsidRPr="00233E1A">
        <w:rPr>
          <w:rFonts w:ascii="Arial" w:eastAsia="MS Gothic" w:hAnsi="Arial"/>
          <w:b/>
          <w:bCs/>
          <w:i/>
          <w:color w:val="0071BC"/>
          <w:sz w:val="28"/>
          <w:szCs w:val="26"/>
          <w:lang w:val="cs-CZ"/>
        </w:rPr>
        <w:t>of</w:t>
      </w:r>
      <w:proofErr w:type="spellEnd"/>
      <w:r w:rsidRPr="00233E1A">
        <w:rPr>
          <w:rFonts w:ascii="Arial" w:eastAsia="MS Gothic" w:hAnsi="Arial"/>
          <w:b/>
          <w:bCs/>
          <w:i/>
          <w:color w:val="0071BC"/>
          <w:sz w:val="28"/>
          <w:szCs w:val="26"/>
          <w:lang w:val="cs-CZ"/>
        </w:rPr>
        <w:t xml:space="preserve"> </w:t>
      </w:r>
      <w:proofErr w:type="spellStart"/>
      <w:r w:rsidRPr="00233E1A">
        <w:rPr>
          <w:rFonts w:ascii="Arial" w:eastAsia="MS Gothic" w:hAnsi="Arial"/>
          <w:b/>
          <w:bCs/>
          <w:i/>
          <w:color w:val="0071BC"/>
          <w:sz w:val="28"/>
          <w:szCs w:val="26"/>
          <w:lang w:val="cs-CZ"/>
        </w:rPr>
        <w:t>secondary</w:t>
      </w:r>
      <w:proofErr w:type="spellEnd"/>
      <w:r w:rsidRPr="00233E1A">
        <w:rPr>
          <w:rFonts w:ascii="Arial" w:eastAsia="MS Gothic" w:hAnsi="Arial"/>
          <w:b/>
          <w:bCs/>
          <w:i/>
          <w:color w:val="0071BC"/>
          <w:sz w:val="28"/>
          <w:szCs w:val="26"/>
          <w:lang w:val="cs-CZ"/>
        </w:rPr>
        <w:t xml:space="preserve"> </w:t>
      </w:r>
      <w:proofErr w:type="spellStart"/>
      <w:r w:rsidRPr="00233E1A">
        <w:rPr>
          <w:rFonts w:ascii="Arial" w:eastAsia="MS Gothic" w:hAnsi="Arial"/>
          <w:b/>
          <w:bCs/>
          <w:i/>
          <w:color w:val="0071BC"/>
          <w:sz w:val="28"/>
          <w:szCs w:val="26"/>
          <w:lang w:val="cs-CZ"/>
        </w:rPr>
        <w:t>raw</w:t>
      </w:r>
      <w:proofErr w:type="spellEnd"/>
      <w:r w:rsidRPr="00233E1A">
        <w:rPr>
          <w:rFonts w:ascii="Arial" w:eastAsia="MS Gothic" w:hAnsi="Arial"/>
          <w:b/>
          <w:bCs/>
          <w:i/>
          <w:color w:val="0071BC"/>
          <w:sz w:val="28"/>
          <w:szCs w:val="26"/>
          <w:lang w:val="cs-CZ"/>
        </w:rPr>
        <w:t xml:space="preserve"> </w:t>
      </w:r>
      <w:proofErr w:type="spellStart"/>
      <w:r w:rsidRPr="00233E1A">
        <w:rPr>
          <w:rFonts w:ascii="Arial" w:eastAsia="MS Gothic" w:hAnsi="Arial"/>
          <w:b/>
          <w:bCs/>
          <w:i/>
          <w:color w:val="0071BC"/>
          <w:sz w:val="28"/>
          <w:szCs w:val="26"/>
          <w:lang w:val="cs-CZ"/>
        </w:rPr>
        <w:t>materials</w:t>
      </w:r>
      <w:proofErr w:type="spellEnd"/>
    </w:p>
    <w:p w:rsidR="00311E5C" w:rsidRPr="003165EC" w:rsidRDefault="00311E5C" w:rsidP="00311E5C">
      <w:pPr>
        <w:autoSpaceDE w:val="0"/>
        <w:autoSpaceDN w:val="0"/>
        <w:adjustRightInd w:val="0"/>
        <w:ind w:left="0" w:firstLine="709"/>
        <w:jc w:val="both"/>
        <w:rPr>
          <w:rFonts w:ascii="Arial" w:hAnsi="Arial" w:cs="Arial"/>
          <w:i/>
          <w:sz w:val="20"/>
          <w:szCs w:val="20"/>
          <w:lang w:val="en-GB"/>
        </w:rPr>
      </w:pPr>
      <w:r w:rsidRPr="003165EC">
        <w:rPr>
          <w:rFonts w:ascii="Arial" w:hAnsi="Arial" w:cs="Arial"/>
          <w:i/>
          <w:sz w:val="20"/>
          <w:szCs w:val="20"/>
          <w:lang w:val="en-GB"/>
        </w:rPr>
        <w:t xml:space="preserve">Since 2011 the Czech Statistical Office has been monitoring the secondary raw material generation in the Czech Republic. </w:t>
      </w:r>
      <w:r>
        <w:rPr>
          <w:rFonts w:ascii="Arial" w:hAnsi="Arial" w:cs="Arial"/>
          <w:i/>
          <w:sz w:val="20"/>
          <w:szCs w:val="20"/>
          <w:lang w:val="en-GB"/>
        </w:rPr>
        <w:t>The survey on</w:t>
      </w:r>
      <w:r w:rsidRPr="003165EC">
        <w:rPr>
          <w:rFonts w:ascii="Arial" w:hAnsi="Arial" w:cs="Arial"/>
          <w:i/>
          <w:sz w:val="20"/>
          <w:szCs w:val="20"/>
          <w:lang w:val="en-GB"/>
        </w:rPr>
        <w:t xml:space="preserve"> secondary raw materials is selective as the most statistical surveys.</w:t>
      </w:r>
      <w:r>
        <w:rPr>
          <w:rFonts w:ascii="Arial" w:hAnsi="Arial" w:cs="Arial"/>
          <w:i/>
          <w:sz w:val="20"/>
          <w:szCs w:val="20"/>
          <w:lang w:val="en-GB"/>
        </w:rPr>
        <w:t xml:space="preserve"> For this reason,</w:t>
      </w:r>
      <w:r w:rsidRPr="003165EC">
        <w:rPr>
          <w:rFonts w:ascii="Arial" w:hAnsi="Arial" w:cs="Arial"/>
          <w:i/>
          <w:sz w:val="20"/>
          <w:szCs w:val="20"/>
          <w:lang w:val="en-GB"/>
        </w:rPr>
        <w:t xml:space="preserve"> the possibility of connection with other fractional statistical surveys, e. g. industry, construction, energy industry, etc., </w:t>
      </w:r>
      <w:r>
        <w:rPr>
          <w:rFonts w:ascii="Arial" w:hAnsi="Arial" w:cs="Arial"/>
          <w:i/>
          <w:sz w:val="20"/>
          <w:szCs w:val="20"/>
          <w:lang w:val="en-GB"/>
        </w:rPr>
        <w:t xml:space="preserve">is </w:t>
      </w:r>
      <w:r w:rsidRPr="003165EC">
        <w:rPr>
          <w:rFonts w:ascii="Arial" w:hAnsi="Arial" w:cs="Arial"/>
          <w:i/>
          <w:sz w:val="20"/>
          <w:szCs w:val="20"/>
          <w:lang w:val="en-GB"/>
        </w:rPr>
        <w:t xml:space="preserve">very complicated. </w:t>
      </w:r>
    </w:p>
    <w:p w:rsidR="00311E5C" w:rsidRPr="005E067E" w:rsidRDefault="00311E5C" w:rsidP="00311E5C">
      <w:pPr>
        <w:autoSpaceDE w:val="0"/>
        <w:autoSpaceDN w:val="0"/>
        <w:adjustRightInd w:val="0"/>
        <w:ind w:left="0" w:firstLine="709"/>
        <w:jc w:val="both"/>
        <w:rPr>
          <w:rFonts w:ascii="Arial" w:hAnsi="Arial" w:cs="Arial"/>
          <w:i/>
          <w:sz w:val="20"/>
          <w:szCs w:val="20"/>
          <w:lang w:val="en-GB"/>
        </w:rPr>
      </w:pPr>
      <w:r>
        <w:rPr>
          <w:rFonts w:ascii="Arial" w:hAnsi="Arial" w:cs="Arial"/>
          <w:i/>
          <w:sz w:val="20"/>
          <w:szCs w:val="20"/>
          <w:lang w:val="en-GB"/>
        </w:rPr>
        <w:t>In 2018</w:t>
      </w:r>
      <w:r w:rsidRPr="003165EC">
        <w:rPr>
          <w:rFonts w:ascii="Arial" w:hAnsi="Arial" w:cs="Arial"/>
          <w:i/>
          <w:sz w:val="20"/>
          <w:szCs w:val="20"/>
          <w:lang w:val="en-GB"/>
        </w:rPr>
        <w:t xml:space="preserve"> the statistical survey revealed the </w:t>
      </w:r>
      <w:r w:rsidRPr="003165EC">
        <w:rPr>
          <w:rFonts w:ascii="Arial" w:hAnsi="Arial" w:cs="Arial"/>
          <w:b/>
          <w:i/>
          <w:sz w:val="20"/>
          <w:szCs w:val="20"/>
          <w:lang w:val="en-GB"/>
        </w:rPr>
        <w:t xml:space="preserve">generation of secondary raw materials in the amount </w:t>
      </w:r>
      <w:r w:rsidRPr="00274061">
        <w:rPr>
          <w:rFonts w:ascii="Arial" w:hAnsi="Arial" w:cs="Arial"/>
          <w:b/>
          <w:i/>
          <w:sz w:val="20"/>
          <w:szCs w:val="20"/>
          <w:lang w:val="en-GB"/>
        </w:rPr>
        <w:t>of 22.2 million tonnes</w:t>
      </w:r>
      <w:r w:rsidRPr="00274061">
        <w:rPr>
          <w:rFonts w:ascii="Arial" w:hAnsi="Arial" w:cs="Arial"/>
          <w:i/>
          <w:sz w:val="20"/>
          <w:szCs w:val="20"/>
          <w:lang w:val="en-GB"/>
        </w:rPr>
        <w:t xml:space="preserve">. Compared to 2017 the secondary raw material generation was slightly rose from 21.8 million tonnes. These were, first of all, side products from energy industry (ash, slag, bottom ash), which comprised nearly half of the total generation of secondary raw materials. </w:t>
      </w:r>
      <w:r>
        <w:rPr>
          <w:rFonts w:ascii="Arial" w:hAnsi="Arial" w:cs="Arial"/>
          <w:i/>
          <w:sz w:val="20"/>
          <w:szCs w:val="20"/>
          <w:lang w:val="en-GB"/>
        </w:rPr>
        <w:t>The </w:t>
      </w:r>
      <w:r w:rsidRPr="00274061">
        <w:rPr>
          <w:rFonts w:ascii="Arial" w:hAnsi="Arial" w:cs="Arial"/>
          <w:i/>
          <w:sz w:val="20"/>
          <w:szCs w:val="20"/>
          <w:lang w:val="en-GB"/>
        </w:rPr>
        <w:t>amount of these materials was 10.2 million tonnes in 2018. The second sig</w:t>
      </w:r>
      <w:r>
        <w:rPr>
          <w:rFonts w:ascii="Arial" w:hAnsi="Arial" w:cs="Arial"/>
          <w:i/>
          <w:sz w:val="20"/>
          <w:szCs w:val="20"/>
          <w:lang w:val="en-GB"/>
        </w:rPr>
        <w:t>nificant share of </w:t>
      </w:r>
      <w:r w:rsidRPr="00274061">
        <w:rPr>
          <w:rFonts w:ascii="Arial" w:hAnsi="Arial" w:cs="Arial"/>
          <w:i/>
          <w:sz w:val="20"/>
          <w:szCs w:val="20"/>
          <w:lang w:val="en-GB"/>
        </w:rPr>
        <w:t>secondary raw material generation was recorded in construction materials. Their generation was 5.4 million tonnes. Higher amount of generation was recorded for wood (by 20.2%) and already mentioned construction materials (by 12.8%) compared to 2017. Concrete values of the production of surveyed secondary raw materials can be found in Table 15 and in Graph 14.</w:t>
      </w:r>
      <w:r w:rsidRPr="005E067E">
        <w:rPr>
          <w:rFonts w:ascii="Arial" w:hAnsi="Arial" w:cs="Arial"/>
          <w:i/>
          <w:sz w:val="20"/>
          <w:szCs w:val="20"/>
          <w:lang w:val="en-GB"/>
        </w:rPr>
        <w:t xml:space="preserve"> </w:t>
      </w:r>
    </w:p>
    <w:p w:rsidR="00311E5C" w:rsidRPr="005E067E" w:rsidRDefault="00311E5C" w:rsidP="00311E5C">
      <w:pPr>
        <w:pStyle w:val="Zkladntext3"/>
        <w:ind w:left="0" w:firstLine="0"/>
        <w:rPr>
          <w:rFonts w:cs="Arial"/>
          <w:b/>
          <w:bCs w:val="0"/>
          <w:i/>
          <w:szCs w:val="20"/>
          <w:lang w:val="en-GB"/>
        </w:rPr>
      </w:pPr>
    </w:p>
    <w:p w:rsidR="00311E5C" w:rsidRPr="005E067E" w:rsidRDefault="00311E5C" w:rsidP="00311E5C">
      <w:pPr>
        <w:pStyle w:val="Zkladntext3"/>
        <w:ind w:left="0" w:firstLine="0"/>
        <w:rPr>
          <w:rFonts w:cs="Arial"/>
          <w:b/>
          <w:bCs w:val="0"/>
          <w:i/>
          <w:szCs w:val="20"/>
          <w:lang w:val="en-GB"/>
        </w:rPr>
      </w:pPr>
    </w:p>
    <w:p w:rsidR="00311E5C" w:rsidRPr="00233E1A" w:rsidRDefault="00311E5C" w:rsidP="00311E5C">
      <w:pPr>
        <w:spacing w:after="120"/>
        <w:rPr>
          <w:rFonts w:ascii="Arial" w:eastAsia="MS Gothic" w:hAnsi="Arial"/>
          <w:b/>
          <w:bCs/>
          <w:i/>
          <w:color w:val="0071BC"/>
          <w:sz w:val="28"/>
          <w:szCs w:val="26"/>
          <w:lang w:val="cs-CZ"/>
        </w:rPr>
      </w:pPr>
      <w:proofErr w:type="spellStart"/>
      <w:r w:rsidRPr="00233E1A">
        <w:rPr>
          <w:rFonts w:ascii="Arial" w:eastAsia="MS Gothic" w:hAnsi="Arial"/>
          <w:b/>
          <w:bCs/>
          <w:i/>
          <w:color w:val="0071BC"/>
          <w:sz w:val="28"/>
          <w:szCs w:val="26"/>
          <w:lang w:val="cs-CZ"/>
        </w:rPr>
        <w:t>Explanatory</w:t>
      </w:r>
      <w:proofErr w:type="spellEnd"/>
      <w:r w:rsidRPr="00233E1A">
        <w:rPr>
          <w:rFonts w:ascii="Arial" w:eastAsia="MS Gothic" w:hAnsi="Arial"/>
          <w:b/>
          <w:bCs/>
          <w:i/>
          <w:color w:val="0071BC"/>
          <w:sz w:val="28"/>
          <w:szCs w:val="26"/>
          <w:lang w:val="cs-CZ"/>
        </w:rPr>
        <w:t xml:space="preserve"> notes</w:t>
      </w:r>
    </w:p>
    <w:p w:rsidR="00311E5C" w:rsidRPr="005E067E" w:rsidRDefault="00311E5C" w:rsidP="00311E5C">
      <w:pPr>
        <w:pStyle w:val="Zkladntext3"/>
        <w:numPr>
          <w:ilvl w:val="0"/>
          <w:numId w:val="1"/>
        </w:numPr>
        <w:tabs>
          <w:tab w:val="clear" w:pos="1800"/>
          <w:tab w:val="left" w:pos="900"/>
        </w:tabs>
        <w:ind w:left="0" w:firstLine="0"/>
        <w:rPr>
          <w:rFonts w:cs="Arial"/>
          <w:i/>
          <w:szCs w:val="20"/>
          <w:lang w:val="en-GB"/>
        </w:rPr>
      </w:pPr>
      <w:r w:rsidRPr="005E067E">
        <w:rPr>
          <w:rFonts w:cs="Arial"/>
          <w:i/>
          <w:szCs w:val="20"/>
          <w:lang w:val="en-GB"/>
        </w:rPr>
        <w:t>no such case registered</w:t>
      </w:r>
    </w:p>
    <w:p w:rsidR="00311E5C" w:rsidRPr="005E067E" w:rsidRDefault="00311E5C" w:rsidP="00311E5C">
      <w:pPr>
        <w:pStyle w:val="Zkladntext3"/>
        <w:tabs>
          <w:tab w:val="left" w:pos="900"/>
        </w:tabs>
        <w:ind w:left="0" w:firstLine="0"/>
        <w:rPr>
          <w:rFonts w:cs="Arial"/>
          <w:i/>
          <w:szCs w:val="20"/>
          <w:lang w:val="en-GB"/>
        </w:rPr>
      </w:pPr>
      <w:r w:rsidRPr="005E067E">
        <w:rPr>
          <w:rFonts w:cs="Arial"/>
          <w:i/>
          <w:szCs w:val="20"/>
          <w:lang w:val="en-GB"/>
        </w:rPr>
        <w:t>0</w:t>
      </w:r>
      <w:r w:rsidRPr="005E067E">
        <w:rPr>
          <w:rFonts w:cs="Arial"/>
          <w:i/>
          <w:szCs w:val="20"/>
          <w:lang w:val="en-GB"/>
        </w:rPr>
        <w:tab/>
        <w:t>a figure is smaller than a half of the unit of measure chosen</w:t>
      </w:r>
    </w:p>
    <w:p w:rsidR="00311E5C" w:rsidRDefault="00311E5C" w:rsidP="00311E5C">
      <w:pPr>
        <w:pStyle w:val="Zkladntext3"/>
        <w:tabs>
          <w:tab w:val="left" w:pos="900"/>
        </w:tabs>
        <w:ind w:left="0" w:firstLine="0"/>
        <w:rPr>
          <w:rFonts w:cs="Arial"/>
          <w:i/>
          <w:szCs w:val="20"/>
          <w:lang w:val="en-GB"/>
        </w:rPr>
      </w:pPr>
      <w:proofErr w:type="spellStart"/>
      <w:r w:rsidRPr="005E067E">
        <w:rPr>
          <w:rFonts w:cs="Arial"/>
          <w:i/>
          <w:szCs w:val="20"/>
          <w:lang w:val="en-GB"/>
        </w:rPr>
        <w:t>i</w:t>
      </w:r>
      <w:proofErr w:type="spellEnd"/>
      <w:r w:rsidRPr="005E067E">
        <w:rPr>
          <w:rFonts w:cs="Arial"/>
          <w:i/>
          <w:szCs w:val="20"/>
          <w:lang w:val="en-GB"/>
        </w:rPr>
        <w:t>.</w:t>
      </w:r>
      <w:r>
        <w:rPr>
          <w:rFonts w:cs="Arial"/>
          <w:i/>
          <w:szCs w:val="20"/>
          <w:lang w:val="en-GB"/>
        </w:rPr>
        <w:t xml:space="preserve"> </w:t>
      </w:r>
      <w:r w:rsidRPr="005E067E">
        <w:rPr>
          <w:rFonts w:cs="Arial"/>
          <w:i/>
          <w:szCs w:val="20"/>
          <w:lang w:val="en-GB"/>
        </w:rPr>
        <w:t>d.</w:t>
      </w:r>
      <w:r w:rsidRPr="005E067E">
        <w:rPr>
          <w:rFonts w:cs="Arial"/>
          <w:i/>
          <w:szCs w:val="20"/>
          <w:lang w:val="en-GB"/>
        </w:rPr>
        <w:tab/>
      </w:r>
      <w:r>
        <w:rPr>
          <w:rFonts w:cs="Arial"/>
          <w:i/>
          <w:szCs w:val="20"/>
          <w:lang w:val="en-GB"/>
        </w:rPr>
        <w:t>confidential</w:t>
      </w:r>
      <w:r w:rsidRPr="005E067E">
        <w:rPr>
          <w:rFonts w:cs="Arial"/>
          <w:i/>
          <w:szCs w:val="20"/>
          <w:lang w:val="en-GB"/>
        </w:rPr>
        <w:t xml:space="preserve"> data</w:t>
      </w:r>
    </w:p>
    <w:p w:rsidR="004C3FB8" w:rsidRPr="00311E5C" w:rsidRDefault="004C3FB8" w:rsidP="00311E5C">
      <w:pPr>
        <w:ind w:left="0" w:firstLine="0"/>
      </w:pPr>
    </w:p>
    <w:sectPr w:rsidR="004C3FB8" w:rsidRPr="00311E5C" w:rsidSect="00C06A04">
      <w:headerReference w:type="even" r:id="rId8"/>
      <w:headerReference w:type="default" r:id="rId9"/>
      <w:footerReference w:type="even" r:id="rId10"/>
      <w:footerReference w:type="default" r:id="rId11"/>
      <w:pgSz w:w="11906" w:h="16838"/>
      <w:pgMar w:top="1417" w:right="1417" w:bottom="1417" w:left="1417" w:header="510"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8E4" w:rsidRDefault="005A08E4" w:rsidP="005A08E4">
      <w:pPr>
        <w:spacing w:line="240" w:lineRule="auto"/>
      </w:pPr>
      <w:r>
        <w:separator/>
      </w:r>
    </w:p>
  </w:endnote>
  <w:endnote w:type="continuationSeparator" w:id="0">
    <w:p w:rsidR="005A08E4" w:rsidRDefault="005A08E4" w:rsidP="005A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Narrow">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A04" w:rsidRPr="002C32CA" w:rsidRDefault="00023431" w:rsidP="00C06A04">
    <w:pPr>
      <w:pStyle w:val="Zpat"/>
      <w:ind w:right="360" w:firstLine="360"/>
      <w:jc w:val="center"/>
      <w:rPr>
        <w:rFonts w:ascii="Arial" w:hAnsi="Arial" w:cs="Arial"/>
        <w:sz w:val="16"/>
        <w:szCs w:val="16"/>
        <w:lang w:val="cs-CZ"/>
      </w:rPr>
    </w:pPr>
    <w:r>
      <w:rPr>
        <w:rFonts w:ascii="Arial" w:hAnsi="Arial" w:cs="Arial"/>
        <w:sz w:val="16"/>
        <w:szCs w:val="16"/>
        <w:lang w:val="cs-CZ"/>
      </w:rPr>
      <w:t>2018</w:t>
    </w:r>
    <w:r w:rsidR="00C06A04">
      <w:rPr>
        <w:rFonts w:ascii="Arial" w:hAnsi="Arial" w:cs="Arial"/>
        <w:noProof/>
        <w:sz w:val="16"/>
        <w:szCs w:val="16"/>
        <w:lang w:val="cs-CZ"/>
      </w:rPr>
      <w:drawing>
        <wp:anchor distT="0" distB="0" distL="114300" distR="114300" simplePos="0" relativeHeight="251670528" behindDoc="0" locked="0" layoutInCell="1" allowOverlap="1" wp14:anchorId="334CDFDA" wp14:editId="27348125">
          <wp:simplePos x="0" y="0"/>
          <wp:positionH relativeFrom="column">
            <wp:posOffset>5652135</wp:posOffset>
          </wp:positionH>
          <wp:positionV relativeFrom="paragraph">
            <wp:posOffset>3175</wp:posOffset>
          </wp:positionV>
          <wp:extent cx="428625" cy="201295"/>
          <wp:effectExtent l="19050" t="0" r="9525" b="0"/>
          <wp:wrapNone/>
          <wp:docPr id="2" name="obrázek 2" descr="CSU RGB CZ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 RGB CZ logo-01"/>
                  <pic:cNvPicPr>
                    <a:picLocks noChangeAspect="1" noChangeArrowheads="1"/>
                  </pic:cNvPicPr>
                </pic:nvPicPr>
                <pic:blipFill>
                  <a:blip r:embed="rId1"/>
                  <a:srcRect/>
                  <a:stretch>
                    <a:fillRect/>
                  </a:stretch>
                </pic:blipFill>
                <pic:spPr bwMode="auto">
                  <a:xfrm>
                    <a:off x="0" y="0"/>
                    <a:ext cx="428625" cy="201295"/>
                  </a:xfrm>
                  <a:prstGeom prst="rect">
                    <a:avLst/>
                  </a:prstGeom>
                  <a:noFill/>
                  <a:ln w="9525">
                    <a:noFill/>
                    <a:miter lim="800000"/>
                    <a:headEnd/>
                    <a:tailEnd/>
                  </a:ln>
                </pic:spPr>
              </pic:pic>
            </a:graphicData>
          </a:graphic>
        </wp:anchor>
      </w:drawing>
    </w:r>
  </w:p>
  <w:p w:rsidR="00C06A04" w:rsidRDefault="00C06A04">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A04" w:rsidRPr="002C32CA" w:rsidRDefault="00C06A04" w:rsidP="00C06A04">
    <w:pPr>
      <w:pStyle w:val="Zpat"/>
      <w:ind w:right="357" w:firstLine="357"/>
      <w:jc w:val="center"/>
      <w:rPr>
        <w:rFonts w:ascii="Arial" w:hAnsi="Arial" w:cs="Arial"/>
        <w:noProof/>
        <w:sz w:val="16"/>
        <w:szCs w:val="16"/>
        <w:lang w:val="cs-CZ"/>
      </w:rPr>
    </w:pPr>
    <w:r>
      <w:rPr>
        <w:rFonts w:ascii="Arial" w:hAnsi="Arial" w:cs="Arial"/>
        <w:noProof/>
        <w:sz w:val="16"/>
        <w:szCs w:val="16"/>
        <w:lang w:val="cs-CZ"/>
      </w:rPr>
      <w:drawing>
        <wp:anchor distT="0" distB="0" distL="114300" distR="114300" simplePos="0" relativeHeight="251668480" behindDoc="0" locked="0" layoutInCell="1" allowOverlap="1">
          <wp:simplePos x="0" y="0"/>
          <wp:positionH relativeFrom="column">
            <wp:posOffset>68580</wp:posOffset>
          </wp:positionH>
          <wp:positionV relativeFrom="paragraph">
            <wp:posOffset>-78105</wp:posOffset>
          </wp:positionV>
          <wp:extent cx="510540" cy="272415"/>
          <wp:effectExtent l="19050" t="0" r="3810" b="0"/>
          <wp:wrapNone/>
          <wp:docPr id="1" name="obrázek 1" descr="CSU RGB CZ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 RGB CZ logo-02"/>
                  <pic:cNvPicPr>
                    <a:picLocks noChangeAspect="1" noChangeArrowheads="1"/>
                  </pic:cNvPicPr>
                </pic:nvPicPr>
                <pic:blipFill>
                  <a:blip r:embed="rId1"/>
                  <a:srcRect/>
                  <a:stretch>
                    <a:fillRect/>
                  </a:stretch>
                </pic:blipFill>
                <pic:spPr bwMode="auto">
                  <a:xfrm>
                    <a:off x="0" y="0"/>
                    <a:ext cx="510540" cy="272415"/>
                  </a:xfrm>
                  <a:prstGeom prst="rect">
                    <a:avLst/>
                  </a:prstGeom>
                  <a:noFill/>
                  <a:ln w="9525">
                    <a:noFill/>
                    <a:miter lim="800000"/>
                    <a:headEnd/>
                    <a:tailEnd/>
                  </a:ln>
                </pic:spPr>
              </pic:pic>
            </a:graphicData>
          </a:graphic>
        </wp:anchor>
      </w:drawing>
    </w:r>
    <w:r w:rsidR="00023431">
      <w:rPr>
        <w:rFonts w:ascii="Arial" w:hAnsi="Arial" w:cs="Arial"/>
        <w:noProof/>
        <w:sz w:val="16"/>
        <w:szCs w:val="16"/>
        <w:lang w:val="cs-CZ"/>
      </w:rPr>
      <w:t>2018</w:t>
    </w:r>
  </w:p>
  <w:p w:rsidR="00236F88" w:rsidRPr="00C06A04" w:rsidRDefault="00236F88" w:rsidP="00C06A04">
    <w:pPr>
      <w:pStyle w:val="Zpat"/>
      <w:ind w:left="0" w:firstLine="0"/>
      <w:rPr>
        <w:lang w:val="cs-CZ"/>
      </w:rPr>
    </w:pPr>
    <w:r>
      <w:rPr>
        <w:noProof/>
        <w:lang w:val="cs-CZ"/>
      </w:rPr>
      <w:drawing>
        <wp:anchor distT="0" distB="0" distL="114300" distR="114300" simplePos="0" relativeHeight="251666432" behindDoc="0" locked="0" layoutInCell="1" allowOverlap="1">
          <wp:simplePos x="0" y="0"/>
          <wp:positionH relativeFrom="column">
            <wp:posOffset>860425</wp:posOffset>
          </wp:positionH>
          <wp:positionV relativeFrom="paragraph">
            <wp:posOffset>10111740</wp:posOffset>
          </wp:positionV>
          <wp:extent cx="510540" cy="272415"/>
          <wp:effectExtent l="19050" t="0" r="3810" b="0"/>
          <wp:wrapNone/>
          <wp:docPr id="6" name="obrázek 3" descr="CSU RGB CZ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U RGB CZ logo-02"/>
                  <pic:cNvPicPr>
                    <a:picLocks noChangeAspect="1" noChangeArrowheads="1"/>
                  </pic:cNvPicPr>
                </pic:nvPicPr>
                <pic:blipFill>
                  <a:blip r:embed="rId1"/>
                  <a:srcRect/>
                  <a:stretch>
                    <a:fillRect/>
                  </a:stretch>
                </pic:blipFill>
                <pic:spPr bwMode="auto">
                  <a:xfrm>
                    <a:off x="0" y="0"/>
                    <a:ext cx="510540" cy="272415"/>
                  </a:xfrm>
                  <a:prstGeom prst="rect">
                    <a:avLst/>
                  </a:prstGeom>
                  <a:noFill/>
                  <a:ln w="9525">
                    <a:noFill/>
                    <a:miter lim="800000"/>
                    <a:headEnd/>
                    <a:tailEnd/>
                  </a:ln>
                </pic:spPr>
              </pic:pic>
            </a:graphicData>
          </a:graphic>
        </wp:anchor>
      </w:drawing>
    </w:r>
    <w:r>
      <w:rPr>
        <w:noProof/>
        <w:lang w:val="cs-CZ"/>
      </w:rPr>
      <w:drawing>
        <wp:anchor distT="0" distB="0" distL="114300" distR="114300" simplePos="0" relativeHeight="251665408" behindDoc="0" locked="0" layoutInCell="1" allowOverlap="1">
          <wp:simplePos x="0" y="0"/>
          <wp:positionH relativeFrom="column">
            <wp:posOffset>860425</wp:posOffset>
          </wp:positionH>
          <wp:positionV relativeFrom="paragraph">
            <wp:posOffset>10111740</wp:posOffset>
          </wp:positionV>
          <wp:extent cx="510540" cy="272415"/>
          <wp:effectExtent l="19050" t="0" r="3810" b="0"/>
          <wp:wrapNone/>
          <wp:docPr id="7" name="obrázek 2" descr="CSU RGB CZ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 RGB CZ logo-02"/>
                  <pic:cNvPicPr>
                    <a:picLocks noChangeAspect="1" noChangeArrowheads="1"/>
                  </pic:cNvPicPr>
                </pic:nvPicPr>
                <pic:blipFill>
                  <a:blip r:embed="rId1"/>
                  <a:srcRect/>
                  <a:stretch>
                    <a:fillRect/>
                  </a:stretch>
                </pic:blipFill>
                <pic:spPr bwMode="auto">
                  <a:xfrm>
                    <a:off x="0" y="0"/>
                    <a:ext cx="510540" cy="272415"/>
                  </a:xfrm>
                  <a:prstGeom prst="rect">
                    <a:avLst/>
                  </a:prstGeom>
                  <a:noFill/>
                  <a:ln w="9525">
                    <a:noFill/>
                    <a:miter lim="800000"/>
                    <a:headEnd/>
                    <a:tailEnd/>
                  </a:ln>
                </pic:spPr>
              </pic:pic>
            </a:graphicData>
          </a:graphic>
        </wp:anchor>
      </w:drawing>
    </w:r>
    <w:r>
      <w:rPr>
        <w:noProof/>
        <w:lang w:val="cs-CZ"/>
      </w:rPr>
      <w:drawing>
        <wp:anchor distT="0" distB="0" distL="114300" distR="114300" simplePos="0" relativeHeight="251664384" behindDoc="0" locked="0" layoutInCell="1" allowOverlap="1">
          <wp:simplePos x="0" y="0"/>
          <wp:positionH relativeFrom="column">
            <wp:posOffset>860425</wp:posOffset>
          </wp:positionH>
          <wp:positionV relativeFrom="paragraph">
            <wp:posOffset>10111740</wp:posOffset>
          </wp:positionV>
          <wp:extent cx="510540" cy="272415"/>
          <wp:effectExtent l="19050" t="0" r="3810" b="0"/>
          <wp:wrapNone/>
          <wp:docPr id="8" name="obrázek 1" descr="CSU RGB CZ 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 RGB CZ logo-02"/>
                  <pic:cNvPicPr>
                    <a:picLocks noChangeAspect="1" noChangeArrowheads="1"/>
                  </pic:cNvPicPr>
                </pic:nvPicPr>
                <pic:blipFill>
                  <a:blip r:embed="rId1"/>
                  <a:srcRect/>
                  <a:stretch>
                    <a:fillRect/>
                  </a:stretch>
                </pic:blipFill>
                <pic:spPr bwMode="auto">
                  <a:xfrm>
                    <a:off x="0" y="0"/>
                    <a:ext cx="510540" cy="27241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8E4" w:rsidRDefault="005A08E4" w:rsidP="005A08E4">
      <w:pPr>
        <w:spacing w:line="240" w:lineRule="auto"/>
      </w:pPr>
      <w:r>
        <w:separator/>
      </w:r>
    </w:p>
  </w:footnote>
  <w:footnote w:type="continuationSeparator" w:id="0">
    <w:p w:rsidR="005A08E4" w:rsidRDefault="005A08E4" w:rsidP="005A08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A04" w:rsidRPr="00B77E78" w:rsidRDefault="00C06A04" w:rsidP="00C06A04">
    <w:pPr>
      <w:pStyle w:val="Zhlav"/>
      <w:tabs>
        <w:tab w:val="clear" w:pos="4536"/>
        <w:tab w:val="clear" w:pos="9072"/>
      </w:tabs>
      <w:spacing w:line="288" w:lineRule="auto"/>
      <w:ind w:left="0" w:firstLine="0"/>
      <w:rPr>
        <w:rFonts w:ascii="Arial" w:eastAsia="Calibri" w:hAnsi="Arial"/>
        <w:sz w:val="16"/>
        <w:szCs w:val="22"/>
        <w:lang w:val="cs-CZ" w:eastAsia="en-US"/>
      </w:rPr>
    </w:pPr>
    <w:r w:rsidRPr="00B77E78">
      <w:rPr>
        <w:rFonts w:ascii="Arial" w:eastAsia="Calibri" w:hAnsi="Arial"/>
        <w:sz w:val="16"/>
        <w:szCs w:val="22"/>
        <w:lang w:val="cs-CZ" w:eastAsia="en-US"/>
      </w:rPr>
      <w:t>Produkce, využití a odstranění odpadů</w:t>
    </w:r>
  </w:p>
  <w:p w:rsidR="00C06A04" w:rsidRPr="00C06A04" w:rsidRDefault="00C06A04" w:rsidP="00C06A04">
    <w:pPr>
      <w:pStyle w:val="Zhlav"/>
      <w:tabs>
        <w:tab w:val="clear" w:pos="4536"/>
        <w:tab w:val="clear" w:pos="9072"/>
      </w:tabs>
      <w:spacing w:line="288" w:lineRule="auto"/>
      <w:ind w:left="0" w:firstLine="0"/>
      <w:rPr>
        <w:rFonts w:ascii="Arial" w:eastAsia="Calibri" w:hAnsi="Arial"/>
        <w:i/>
        <w:sz w:val="16"/>
        <w:szCs w:val="22"/>
        <w:lang w:val="cs-CZ" w:eastAsia="en-US"/>
      </w:rPr>
    </w:pPr>
    <w:proofErr w:type="spellStart"/>
    <w:r w:rsidRPr="003A0F18">
      <w:rPr>
        <w:rFonts w:ascii="Arial" w:eastAsia="Calibri" w:hAnsi="Arial"/>
        <w:i/>
        <w:sz w:val="16"/>
        <w:szCs w:val="22"/>
        <w:lang w:val="cs-CZ" w:eastAsia="en-US"/>
      </w:rPr>
      <w:t>Generation</w:t>
    </w:r>
    <w:proofErr w:type="spellEnd"/>
    <w:r w:rsidRPr="003A0F18">
      <w:rPr>
        <w:rFonts w:ascii="Arial" w:eastAsia="Calibri" w:hAnsi="Arial"/>
        <w:i/>
        <w:sz w:val="16"/>
        <w:szCs w:val="22"/>
        <w:lang w:val="cs-CZ" w:eastAsia="en-US"/>
      </w:rPr>
      <w:t xml:space="preserve">, </w:t>
    </w:r>
    <w:proofErr w:type="spellStart"/>
    <w:r w:rsidRPr="003A0F18">
      <w:rPr>
        <w:rFonts w:ascii="Arial" w:eastAsia="Calibri" w:hAnsi="Arial"/>
        <w:i/>
        <w:sz w:val="16"/>
        <w:szCs w:val="22"/>
        <w:lang w:val="cs-CZ" w:eastAsia="en-US"/>
      </w:rPr>
      <w:t>Recove</w:t>
    </w:r>
    <w:r>
      <w:rPr>
        <w:rFonts w:ascii="Arial" w:eastAsia="Calibri" w:hAnsi="Arial"/>
        <w:i/>
        <w:sz w:val="16"/>
        <w:szCs w:val="22"/>
        <w:lang w:val="cs-CZ" w:eastAsia="en-US"/>
      </w:rPr>
      <w:t>ry</w:t>
    </w:r>
    <w:proofErr w:type="spellEnd"/>
    <w:r>
      <w:rPr>
        <w:rFonts w:ascii="Arial" w:eastAsia="Calibri" w:hAnsi="Arial"/>
        <w:i/>
        <w:sz w:val="16"/>
        <w:szCs w:val="22"/>
        <w:lang w:val="cs-CZ" w:eastAsia="en-US"/>
      </w:rPr>
      <w:t xml:space="preserve"> and </w:t>
    </w:r>
    <w:proofErr w:type="spellStart"/>
    <w:r>
      <w:rPr>
        <w:rFonts w:ascii="Arial" w:eastAsia="Calibri" w:hAnsi="Arial"/>
        <w:i/>
        <w:sz w:val="16"/>
        <w:szCs w:val="22"/>
        <w:lang w:val="cs-CZ" w:eastAsia="en-US"/>
      </w:rPr>
      <w:t>Disposal</w:t>
    </w:r>
    <w:proofErr w:type="spellEnd"/>
    <w:r>
      <w:rPr>
        <w:rFonts w:ascii="Arial" w:eastAsia="Calibri" w:hAnsi="Arial"/>
        <w:i/>
        <w:sz w:val="16"/>
        <w:szCs w:val="22"/>
        <w:lang w:val="cs-CZ" w:eastAsia="en-US"/>
      </w:rPr>
      <w:t xml:space="preserve"> </w:t>
    </w:r>
    <w:proofErr w:type="spellStart"/>
    <w:r>
      <w:rPr>
        <w:rFonts w:ascii="Arial" w:eastAsia="Calibri" w:hAnsi="Arial"/>
        <w:i/>
        <w:sz w:val="16"/>
        <w:szCs w:val="22"/>
        <w:lang w:val="cs-CZ" w:eastAsia="en-US"/>
      </w:rPr>
      <w:t>of</w:t>
    </w:r>
    <w:proofErr w:type="spellEnd"/>
    <w:r>
      <w:rPr>
        <w:rFonts w:ascii="Arial" w:eastAsia="Calibri" w:hAnsi="Arial"/>
        <w:i/>
        <w:sz w:val="16"/>
        <w:szCs w:val="22"/>
        <w:lang w:val="cs-CZ" w:eastAsia="en-US"/>
      </w:rPr>
      <w:t xml:space="preserve"> </w:t>
    </w:r>
    <w:proofErr w:type="spellStart"/>
    <w:r>
      <w:rPr>
        <w:rFonts w:ascii="Arial" w:eastAsia="Calibri" w:hAnsi="Arial"/>
        <w:i/>
        <w:sz w:val="16"/>
        <w:szCs w:val="22"/>
        <w:lang w:val="cs-CZ" w:eastAsia="en-US"/>
      </w:rPr>
      <w:t>Waste</w:t>
    </w:r>
    <w:proofErr w:type="spell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A04" w:rsidRPr="00B77E78" w:rsidRDefault="00C06A04" w:rsidP="00C06A04">
    <w:pPr>
      <w:pStyle w:val="Zhlav"/>
      <w:tabs>
        <w:tab w:val="clear" w:pos="4536"/>
        <w:tab w:val="clear" w:pos="9072"/>
      </w:tabs>
      <w:spacing w:line="288" w:lineRule="auto"/>
      <w:ind w:left="0" w:firstLine="0"/>
      <w:rPr>
        <w:rFonts w:ascii="Arial" w:eastAsia="Calibri" w:hAnsi="Arial"/>
        <w:sz w:val="16"/>
        <w:szCs w:val="22"/>
        <w:lang w:val="cs-CZ" w:eastAsia="en-US"/>
      </w:rPr>
    </w:pPr>
    <w:r w:rsidRPr="00B77E78">
      <w:rPr>
        <w:rFonts w:ascii="Arial" w:eastAsia="Calibri" w:hAnsi="Arial"/>
        <w:sz w:val="16"/>
        <w:szCs w:val="22"/>
        <w:lang w:val="cs-CZ" w:eastAsia="en-US"/>
      </w:rPr>
      <w:t>Produkce, využití a odstranění odpadů</w:t>
    </w:r>
  </w:p>
  <w:p w:rsidR="00C06A04" w:rsidRPr="00C06A04" w:rsidRDefault="00C06A04" w:rsidP="00C06A04">
    <w:pPr>
      <w:pStyle w:val="Zhlav"/>
      <w:tabs>
        <w:tab w:val="clear" w:pos="4536"/>
        <w:tab w:val="clear" w:pos="9072"/>
      </w:tabs>
      <w:spacing w:line="288" w:lineRule="auto"/>
      <w:ind w:left="0" w:firstLine="0"/>
      <w:rPr>
        <w:rFonts w:ascii="Arial" w:eastAsia="Calibri" w:hAnsi="Arial"/>
        <w:i/>
        <w:sz w:val="16"/>
        <w:szCs w:val="22"/>
        <w:lang w:val="cs-CZ" w:eastAsia="en-US"/>
      </w:rPr>
    </w:pPr>
    <w:proofErr w:type="spellStart"/>
    <w:r w:rsidRPr="003A0F18">
      <w:rPr>
        <w:rFonts w:ascii="Arial" w:eastAsia="Calibri" w:hAnsi="Arial"/>
        <w:i/>
        <w:sz w:val="16"/>
        <w:szCs w:val="22"/>
        <w:lang w:val="cs-CZ" w:eastAsia="en-US"/>
      </w:rPr>
      <w:t>Generation</w:t>
    </w:r>
    <w:proofErr w:type="spellEnd"/>
    <w:r w:rsidRPr="003A0F18">
      <w:rPr>
        <w:rFonts w:ascii="Arial" w:eastAsia="Calibri" w:hAnsi="Arial"/>
        <w:i/>
        <w:sz w:val="16"/>
        <w:szCs w:val="22"/>
        <w:lang w:val="cs-CZ" w:eastAsia="en-US"/>
      </w:rPr>
      <w:t xml:space="preserve">, </w:t>
    </w:r>
    <w:proofErr w:type="spellStart"/>
    <w:r w:rsidRPr="003A0F18">
      <w:rPr>
        <w:rFonts w:ascii="Arial" w:eastAsia="Calibri" w:hAnsi="Arial"/>
        <w:i/>
        <w:sz w:val="16"/>
        <w:szCs w:val="22"/>
        <w:lang w:val="cs-CZ" w:eastAsia="en-US"/>
      </w:rPr>
      <w:t>Recove</w:t>
    </w:r>
    <w:r>
      <w:rPr>
        <w:rFonts w:ascii="Arial" w:eastAsia="Calibri" w:hAnsi="Arial"/>
        <w:i/>
        <w:sz w:val="16"/>
        <w:szCs w:val="22"/>
        <w:lang w:val="cs-CZ" w:eastAsia="en-US"/>
      </w:rPr>
      <w:t>ry</w:t>
    </w:r>
    <w:proofErr w:type="spellEnd"/>
    <w:r>
      <w:rPr>
        <w:rFonts w:ascii="Arial" w:eastAsia="Calibri" w:hAnsi="Arial"/>
        <w:i/>
        <w:sz w:val="16"/>
        <w:szCs w:val="22"/>
        <w:lang w:val="cs-CZ" w:eastAsia="en-US"/>
      </w:rPr>
      <w:t xml:space="preserve"> and </w:t>
    </w:r>
    <w:proofErr w:type="spellStart"/>
    <w:r>
      <w:rPr>
        <w:rFonts w:ascii="Arial" w:eastAsia="Calibri" w:hAnsi="Arial"/>
        <w:i/>
        <w:sz w:val="16"/>
        <w:szCs w:val="22"/>
        <w:lang w:val="cs-CZ" w:eastAsia="en-US"/>
      </w:rPr>
      <w:t>Disposal</w:t>
    </w:r>
    <w:proofErr w:type="spellEnd"/>
    <w:r>
      <w:rPr>
        <w:rFonts w:ascii="Arial" w:eastAsia="Calibri" w:hAnsi="Arial"/>
        <w:i/>
        <w:sz w:val="16"/>
        <w:szCs w:val="22"/>
        <w:lang w:val="cs-CZ" w:eastAsia="en-US"/>
      </w:rPr>
      <w:t xml:space="preserve"> </w:t>
    </w:r>
    <w:proofErr w:type="spellStart"/>
    <w:r>
      <w:rPr>
        <w:rFonts w:ascii="Arial" w:eastAsia="Calibri" w:hAnsi="Arial"/>
        <w:i/>
        <w:sz w:val="16"/>
        <w:szCs w:val="22"/>
        <w:lang w:val="cs-CZ" w:eastAsia="en-US"/>
      </w:rPr>
      <w:t>of</w:t>
    </w:r>
    <w:proofErr w:type="spellEnd"/>
    <w:r>
      <w:rPr>
        <w:rFonts w:ascii="Arial" w:eastAsia="Calibri" w:hAnsi="Arial"/>
        <w:i/>
        <w:sz w:val="16"/>
        <w:szCs w:val="22"/>
        <w:lang w:val="cs-CZ" w:eastAsia="en-US"/>
      </w:rPr>
      <w:t xml:space="preserve"> </w:t>
    </w:r>
    <w:proofErr w:type="spellStart"/>
    <w:r>
      <w:rPr>
        <w:rFonts w:ascii="Arial" w:eastAsia="Calibri" w:hAnsi="Arial"/>
        <w:i/>
        <w:sz w:val="16"/>
        <w:szCs w:val="22"/>
        <w:lang w:val="cs-CZ" w:eastAsia="en-US"/>
      </w:rPr>
      <w:t>Waste</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7FFA"/>
    <w:multiLevelType w:val="hybridMultilevel"/>
    <w:tmpl w:val="4432C2FC"/>
    <w:lvl w:ilvl="0" w:tplc="B86EF59E">
      <w:numFmt w:val="bullet"/>
      <w:lvlText w:val="-"/>
      <w:lvlJc w:val="left"/>
      <w:pPr>
        <w:tabs>
          <w:tab w:val="num" w:pos="1800"/>
        </w:tabs>
        <w:ind w:left="1800" w:hanging="360"/>
      </w:pPr>
      <w:rPr>
        <w:rFonts w:ascii="Times New Roman" w:eastAsia="Times New Roman" w:hAnsi="Times New Roman" w:cs="Times New Roman" w:hint="default"/>
        <w:b/>
      </w:rPr>
    </w:lvl>
    <w:lvl w:ilvl="1" w:tplc="04050003" w:tentative="1">
      <w:start w:val="1"/>
      <w:numFmt w:val="bullet"/>
      <w:lvlText w:val="o"/>
      <w:lvlJc w:val="left"/>
      <w:pPr>
        <w:tabs>
          <w:tab w:val="num" w:pos="2520"/>
        </w:tabs>
        <w:ind w:left="2520" w:hanging="360"/>
      </w:pPr>
      <w:rPr>
        <w:rFonts w:ascii="Courier New" w:hAnsi="Courier New" w:hint="default"/>
      </w:rPr>
    </w:lvl>
    <w:lvl w:ilvl="2" w:tplc="04050005" w:tentative="1">
      <w:start w:val="1"/>
      <w:numFmt w:val="bullet"/>
      <w:lvlText w:val=""/>
      <w:lvlJc w:val="left"/>
      <w:pPr>
        <w:tabs>
          <w:tab w:val="num" w:pos="3240"/>
        </w:tabs>
        <w:ind w:left="3240" w:hanging="360"/>
      </w:pPr>
      <w:rPr>
        <w:rFonts w:ascii="Wingdings" w:hAnsi="Wingdings" w:hint="default"/>
      </w:rPr>
    </w:lvl>
    <w:lvl w:ilvl="3" w:tplc="04050001" w:tentative="1">
      <w:start w:val="1"/>
      <w:numFmt w:val="bullet"/>
      <w:lvlText w:val=""/>
      <w:lvlJc w:val="left"/>
      <w:pPr>
        <w:tabs>
          <w:tab w:val="num" w:pos="3960"/>
        </w:tabs>
        <w:ind w:left="3960" w:hanging="360"/>
      </w:pPr>
      <w:rPr>
        <w:rFonts w:ascii="Symbol" w:hAnsi="Symbol" w:hint="default"/>
      </w:rPr>
    </w:lvl>
    <w:lvl w:ilvl="4" w:tplc="04050003" w:tentative="1">
      <w:start w:val="1"/>
      <w:numFmt w:val="bullet"/>
      <w:lvlText w:val="o"/>
      <w:lvlJc w:val="left"/>
      <w:pPr>
        <w:tabs>
          <w:tab w:val="num" w:pos="4680"/>
        </w:tabs>
        <w:ind w:left="4680" w:hanging="360"/>
      </w:pPr>
      <w:rPr>
        <w:rFonts w:ascii="Courier New" w:hAnsi="Courier New" w:hint="default"/>
      </w:rPr>
    </w:lvl>
    <w:lvl w:ilvl="5" w:tplc="04050005" w:tentative="1">
      <w:start w:val="1"/>
      <w:numFmt w:val="bullet"/>
      <w:lvlText w:val=""/>
      <w:lvlJc w:val="left"/>
      <w:pPr>
        <w:tabs>
          <w:tab w:val="num" w:pos="5400"/>
        </w:tabs>
        <w:ind w:left="5400" w:hanging="360"/>
      </w:pPr>
      <w:rPr>
        <w:rFonts w:ascii="Wingdings" w:hAnsi="Wingdings" w:hint="default"/>
      </w:rPr>
    </w:lvl>
    <w:lvl w:ilvl="6" w:tplc="04050001" w:tentative="1">
      <w:start w:val="1"/>
      <w:numFmt w:val="bullet"/>
      <w:lvlText w:val=""/>
      <w:lvlJc w:val="left"/>
      <w:pPr>
        <w:tabs>
          <w:tab w:val="num" w:pos="6120"/>
        </w:tabs>
        <w:ind w:left="6120" w:hanging="360"/>
      </w:pPr>
      <w:rPr>
        <w:rFonts w:ascii="Symbol" w:hAnsi="Symbol" w:hint="default"/>
      </w:rPr>
    </w:lvl>
    <w:lvl w:ilvl="7" w:tplc="04050003" w:tentative="1">
      <w:start w:val="1"/>
      <w:numFmt w:val="bullet"/>
      <w:lvlText w:val="o"/>
      <w:lvlJc w:val="left"/>
      <w:pPr>
        <w:tabs>
          <w:tab w:val="num" w:pos="6840"/>
        </w:tabs>
        <w:ind w:left="6840" w:hanging="360"/>
      </w:pPr>
      <w:rPr>
        <w:rFonts w:ascii="Courier New" w:hAnsi="Courier New" w:hint="default"/>
      </w:rPr>
    </w:lvl>
    <w:lvl w:ilvl="8" w:tplc="04050005" w:tentative="1">
      <w:start w:val="1"/>
      <w:numFmt w:val="bullet"/>
      <w:lvlText w:val=""/>
      <w:lvlJc w:val="left"/>
      <w:pPr>
        <w:tabs>
          <w:tab w:val="num" w:pos="7560"/>
        </w:tabs>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D93652"/>
    <w:rsid w:val="00023431"/>
    <w:rsid w:val="00166882"/>
    <w:rsid w:val="00236F88"/>
    <w:rsid w:val="00245479"/>
    <w:rsid w:val="00311E5C"/>
    <w:rsid w:val="00335B44"/>
    <w:rsid w:val="0035299E"/>
    <w:rsid w:val="003A20D6"/>
    <w:rsid w:val="00495087"/>
    <w:rsid w:val="004C3FB8"/>
    <w:rsid w:val="005A08E4"/>
    <w:rsid w:val="005F090D"/>
    <w:rsid w:val="00651B1E"/>
    <w:rsid w:val="007572B5"/>
    <w:rsid w:val="008146B5"/>
    <w:rsid w:val="008E1A64"/>
    <w:rsid w:val="00913167"/>
    <w:rsid w:val="00AA3262"/>
    <w:rsid w:val="00C06A04"/>
    <w:rsid w:val="00D93652"/>
    <w:rsid w:val="00FA59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B019A24"/>
  <w15:docId w15:val="{8780D7FA-98B9-4DE5-8453-406DAA07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93652"/>
    <w:pPr>
      <w:spacing w:after="0" w:line="0" w:lineRule="atLeast"/>
      <w:ind w:left="851" w:hanging="851"/>
    </w:pPr>
    <w:rPr>
      <w:rFonts w:ascii="Times New Roman" w:eastAsia="Times New Roman" w:hAnsi="Times New Roman" w:cs="Times New Roman"/>
      <w:sz w:val="24"/>
      <w:szCs w:val="24"/>
      <w:lang w:val="ru-RU" w:eastAsia="cs-CZ"/>
    </w:rPr>
  </w:style>
  <w:style w:type="paragraph" w:styleId="Nadpis6">
    <w:name w:val="heading 6"/>
    <w:basedOn w:val="Normln"/>
    <w:next w:val="Normln"/>
    <w:link w:val="Nadpis6Char"/>
    <w:qFormat/>
    <w:rsid w:val="00D93652"/>
    <w:pPr>
      <w:keepNext/>
      <w:jc w:val="center"/>
      <w:outlineLvl w:val="5"/>
    </w:pPr>
    <w:rPr>
      <w:rFonts w:ascii="Arial" w:hAnsi="Arial"/>
      <w:b/>
      <w:i/>
      <w:sz w:val="32"/>
      <w:szCs w:val="20"/>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6Char">
    <w:name w:val="Nadpis 6 Char"/>
    <w:basedOn w:val="Standardnpsmoodstavce"/>
    <w:link w:val="Nadpis6"/>
    <w:rsid w:val="00D93652"/>
    <w:rPr>
      <w:rFonts w:ascii="Arial" w:eastAsia="Times New Roman" w:hAnsi="Arial" w:cs="Times New Roman"/>
      <w:b/>
      <w:i/>
      <w:sz w:val="32"/>
      <w:szCs w:val="20"/>
      <w:lang w:eastAsia="cs-CZ"/>
    </w:rPr>
  </w:style>
  <w:style w:type="paragraph" w:styleId="Zkladntext">
    <w:name w:val="Body Text"/>
    <w:basedOn w:val="Normln"/>
    <w:link w:val="ZkladntextChar"/>
    <w:semiHidden/>
    <w:rsid w:val="00D93652"/>
    <w:pPr>
      <w:tabs>
        <w:tab w:val="left" w:pos="684"/>
      </w:tabs>
      <w:jc w:val="both"/>
    </w:pPr>
    <w:rPr>
      <w:lang w:val="cs-CZ"/>
    </w:rPr>
  </w:style>
  <w:style w:type="character" w:customStyle="1" w:styleId="ZkladntextChar">
    <w:name w:val="Základní text Char"/>
    <w:basedOn w:val="Standardnpsmoodstavce"/>
    <w:link w:val="Zkladntext"/>
    <w:semiHidden/>
    <w:rsid w:val="00D93652"/>
    <w:rPr>
      <w:rFonts w:ascii="Times New Roman" w:eastAsia="Times New Roman" w:hAnsi="Times New Roman" w:cs="Times New Roman"/>
      <w:sz w:val="24"/>
      <w:szCs w:val="24"/>
      <w:lang w:eastAsia="cs-CZ"/>
    </w:rPr>
  </w:style>
  <w:style w:type="paragraph" w:styleId="Zkladntext3">
    <w:name w:val="Body Text 3"/>
    <w:basedOn w:val="Normln"/>
    <w:link w:val="Zkladntext3Char"/>
    <w:semiHidden/>
    <w:rsid w:val="00D93652"/>
    <w:pPr>
      <w:jc w:val="both"/>
    </w:pPr>
    <w:rPr>
      <w:rFonts w:ascii="Arial" w:hAnsi="Arial"/>
      <w:bCs/>
      <w:sz w:val="20"/>
      <w:lang w:val="cs-CZ"/>
    </w:rPr>
  </w:style>
  <w:style w:type="character" w:customStyle="1" w:styleId="Zkladntext3Char">
    <w:name w:val="Základní text 3 Char"/>
    <w:basedOn w:val="Standardnpsmoodstavce"/>
    <w:link w:val="Zkladntext3"/>
    <w:semiHidden/>
    <w:rsid w:val="00D93652"/>
    <w:rPr>
      <w:rFonts w:ascii="Arial" w:eastAsia="Times New Roman" w:hAnsi="Arial" w:cs="Times New Roman"/>
      <w:bCs/>
      <w:sz w:val="20"/>
      <w:szCs w:val="24"/>
      <w:lang w:eastAsia="cs-CZ"/>
    </w:rPr>
  </w:style>
  <w:style w:type="paragraph" w:styleId="Zkladntextodsazen3">
    <w:name w:val="Body Text Indent 3"/>
    <w:basedOn w:val="Normln"/>
    <w:link w:val="Zkladntextodsazen3Char"/>
    <w:semiHidden/>
    <w:rsid w:val="00D93652"/>
    <w:pPr>
      <w:spacing w:after="240"/>
      <w:ind w:firstLine="567"/>
      <w:jc w:val="both"/>
    </w:pPr>
    <w:rPr>
      <w:rFonts w:ascii="Arial" w:hAnsi="Arial" w:cs="Arial"/>
      <w:sz w:val="20"/>
      <w:szCs w:val="17"/>
      <w:lang w:val="en-GB"/>
    </w:rPr>
  </w:style>
  <w:style w:type="character" w:customStyle="1" w:styleId="Zkladntextodsazen3Char">
    <w:name w:val="Základní text odsazený 3 Char"/>
    <w:basedOn w:val="Standardnpsmoodstavce"/>
    <w:link w:val="Zkladntextodsazen3"/>
    <w:semiHidden/>
    <w:rsid w:val="00D93652"/>
    <w:rPr>
      <w:rFonts w:ascii="Arial" w:eastAsia="Times New Roman" w:hAnsi="Arial" w:cs="Arial"/>
      <w:sz w:val="20"/>
      <w:szCs w:val="17"/>
      <w:lang w:val="en-GB" w:eastAsia="cs-CZ"/>
    </w:rPr>
  </w:style>
  <w:style w:type="paragraph" w:styleId="Zhlav">
    <w:name w:val="header"/>
    <w:basedOn w:val="Normln"/>
    <w:link w:val="ZhlavChar"/>
    <w:uiPriority w:val="99"/>
    <w:unhideWhenUsed/>
    <w:qFormat/>
    <w:rsid w:val="005A08E4"/>
    <w:pPr>
      <w:tabs>
        <w:tab w:val="center" w:pos="4536"/>
        <w:tab w:val="right" w:pos="9072"/>
      </w:tabs>
      <w:spacing w:line="240" w:lineRule="auto"/>
    </w:pPr>
  </w:style>
  <w:style w:type="character" w:customStyle="1" w:styleId="ZhlavChar">
    <w:name w:val="Záhlaví Char"/>
    <w:basedOn w:val="Standardnpsmoodstavce"/>
    <w:link w:val="Zhlav"/>
    <w:semiHidden/>
    <w:rsid w:val="005A08E4"/>
    <w:rPr>
      <w:rFonts w:ascii="Times New Roman" w:eastAsia="Times New Roman" w:hAnsi="Times New Roman" w:cs="Times New Roman"/>
      <w:sz w:val="24"/>
      <w:szCs w:val="24"/>
      <w:lang w:val="ru-RU" w:eastAsia="cs-CZ"/>
    </w:rPr>
  </w:style>
  <w:style w:type="paragraph" w:styleId="Zpat">
    <w:name w:val="footer"/>
    <w:basedOn w:val="Normln"/>
    <w:link w:val="ZpatChar"/>
    <w:uiPriority w:val="99"/>
    <w:unhideWhenUsed/>
    <w:rsid w:val="005A08E4"/>
    <w:pPr>
      <w:tabs>
        <w:tab w:val="center" w:pos="4536"/>
        <w:tab w:val="right" w:pos="9072"/>
      </w:tabs>
      <w:spacing w:line="240" w:lineRule="auto"/>
    </w:pPr>
  </w:style>
  <w:style w:type="character" w:customStyle="1" w:styleId="ZpatChar">
    <w:name w:val="Zápatí Char"/>
    <w:basedOn w:val="Standardnpsmoodstavce"/>
    <w:link w:val="Zpat"/>
    <w:uiPriority w:val="99"/>
    <w:rsid w:val="005A08E4"/>
    <w:rPr>
      <w:rFonts w:ascii="Times New Roman" w:eastAsia="Times New Roman" w:hAnsi="Times New Roman" w:cs="Times New Roman"/>
      <w:sz w:val="24"/>
      <w:szCs w:val="24"/>
      <w:lang w:val="ru-RU"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333A3-04FD-46F7-9BA0-788DB23A7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1266</Words>
  <Characters>7476</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
    </vt:vector>
  </TitlesOfParts>
  <Company>CSU</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operator</dc:creator>
  <cp:lastModifiedBy>vackova8892</cp:lastModifiedBy>
  <cp:revision>13</cp:revision>
  <dcterms:created xsi:type="dcterms:W3CDTF">2016-10-14T12:38:00Z</dcterms:created>
  <dcterms:modified xsi:type="dcterms:W3CDTF">2019-10-21T08:51:00Z</dcterms:modified>
</cp:coreProperties>
</file>