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CEE" w:rsidRPr="00351B40" w:rsidRDefault="009E4CEE" w:rsidP="009E4CEE">
      <w:pPr>
        <w:rPr>
          <w:rFonts w:ascii="Arial" w:eastAsia="MS Gothic" w:hAnsi="Arial"/>
          <w:b/>
          <w:bCs/>
          <w:i/>
          <w:color w:val="0071BC"/>
          <w:sz w:val="32"/>
          <w:szCs w:val="28"/>
          <w:lang w:val="cs-CZ"/>
        </w:rPr>
      </w:pPr>
      <w:r w:rsidRPr="00CD4819">
        <w:rPr>
          <w:rFonts w:ascii="Arial" w:eastAsia="MS Gothic" w:hAnsi="Arial"/>
          <w:b/>
          <w:bCs/>
          <w:i/>
          <w:color w:val="0071BC"/>
          <w:sz w:val="32"/>
          <w:szCs w:val="28"/>
          <w:lang w:val="en-GB"/>
        </w:rPr>
        <w:t xml:space="preserve">Methodological </w:t>
      </w:r>
      <w:r w:rsidRPr="00351B40">
        <w:rPr>
          <w:rFonts w:ascii="Arial" w:eastAsia="MS Gothic" w:hAnsi="Arial"/>
          <w:b/>
          <w:bCs/>
          <w:i/>
          <w:color w:val="0071BC"/>
          <w:sz w:val="32"/>
          <w:szCs w:val="28"/>
          <w:lang w:val="cs-CZ"/>
        </w:rPr>
        <w:t>notes</w:t>
      </w:r>
    </w:p>
    <w:p w:rsidR="009E4CEE" w:rsidRPr="00903387" w:rsidRDefault="009E4CEE" w:rsidP="009E4CEE">
      <w:pPr>
        <w:pStyle w:val="Zkladntext"/>
        <w:spacing w:line="240" w:lineRule="atLeast"/>
        <w:ind w:left="0" w:firstLine="709"/>
        <w:rPr>
          <w:rFonts w:ascii="Arial" w:hAnsi="Arial" w:cs="Arial"/>
          <w:i/>
          <w:sz w:val="20"/>
          <w:szCs w:val="20"/>
          <w:lang w:val="en-GB"/>
        </w:rPr>
      </w:pPr>
      <w:r w:rsidRPr="000237B7">
        <w:rPr>
          <w:rFonts w:ascii="Arial" w:hAnsi="Arial" w:cs="Arial"/>
          <w:i/>
          <w:iCs/>
          <w:sz w:val="20"/>
          <w:szCs w:val="20"/>
          <w:lang w:val="en-GB"/>
        </w:rPr>
        <w:t xml:space="preserve">The Czech Statistical Office carries out the </w:t>
      </w:r>
      <w:r w:rsidRPr="000237B7">
        <w:rPr>
          <w:rFonts w:ascii="Arial" w:hAnsi="Arial" w:cs="Arial"/>
          <w:b/>
          <w:bCs/>
          <w:i/>
          <w:iCs/>
          <w:sz w:val="20"/>
          <w:szCs w:val="20"/>
          <w:lang w:val="en-GB"/>
        </w:rPr>
        <w:t>statistical sur</w:t>
      </w:r>
      <w:r>
        <w:rPr>
          <w:rFonts w:ascii="Arial" w:hAnsi="Arial" w:cs="Arial"/>
          <w:b/>
          <w:bCs/>
          <w:i/>
          <w:iCs/>
          <w:sz w:val="20"/>
          <w:szCs w:val="20"/>
          <w:lang w:val="en-GB"/>
        </w:rPr>
        <w:t>vey on the waste generation and </w:t>
      </w:r>
      <w:r w:rsidRPr="000237B7">
        <w:rPr>
          <w:rFonts w:ascii="Arial" w:hAnsi="Arial" w:cs="Arial"/>
          <w:b/>
          <w:bCs/>
          <w:i/>
          <w:iCs/>
          <w:sz w:val="20"/>
          <w:szCs w:val="20"/>
          <w:lang w:val="en-GB"/>
        </w:rPr>
        <w:t>management</w:t>
      </w:r>
      <w:r w:rsidRPr="000237B7">
        <w:rPr>
          <w:rFonts w:ascii="Arial" w:hAnsi="Arial" w:cs="Arial"/>
          <w:i/>
          <w:iCs/>
          <w:sz w:val="20"/>
          <w:szCs w:val="20"/>
          <w:lang w:val="en-GB"/>
        </w:rPr>
        <w:t xml:space="preserve"> every </w:t>
      </w:r>
      <w:r w:rsidRPr="00903387">
        <w:rPr>
          <w:rFonts w:ascii="Arial" w:hAnsi="Arial" w:cs="Arial"/>
          <w:i/>
          <w:iCs/>
          <w:sz w:val="20"/>
          <w:szCs w:val="20"/>
          <w:lang w:val="en-GB"/>
        </w:rPr>
        <w:t xml:space="preserve">year, since 1992. </w:t>
      </w:r>
      <w:r w:rsidRPr="00E70B6F">
        <w:rPr>
          <w:rFonts w:ascii="Arial" w:hAnsi="Arial" w:cs="Arial"/>
          <w:b/>
          <w:i/>
          <w:iCs/>
          <w:sz w:val="20"/>
          <w:szCs w:val="20"/>
          <w:lang w:val="en-GB"/>
        </w:rPr>
        <w:t>The scope and arrangeme</w:t>
      </w:r>
      <w:r>
        <w:rPr>
          <w:rFonts w:ascii="Arial" w:hAnsi="Arial" w:cs="Arial"/>
          <w:b/>
          <w:i/>
          <w:iCs/>
          <w:sz w:val="20"/>
          <w:szCs w:val="20"/>
          <w:lang w:val="en-GB"/>
        </w:rPr>
        <w:t>nt of this survey are used as a </w:t>
      </w:r>
      <w:r w:rsidRPr="00E70B6F">
        <w:rPr>
          <w:rFonts w:ascii="Arial" w:hAnsi="Arial" w:cs="Arial"/>
          <w:b/>
          <w:i/>
          <w:iCs/>
          <w:sz w:val="20"/>
          <w:szCs w:val="20"/>
          <w:lang w:val="en-GB"/>
        </w:rPr>
        <w:t>direct basis for ensuring the reporting obligations of the Czech Republic. These obligations arising from the Regulation of the European Parliament and of the Council No 2150/2002/EC on waste statistics.</w:t>
      </w:r>
      <w:r w:rsidRPr="00903387">
        <w:rPr>
          <w:rFonts w:ascii="Arial" w:hAnsi="Arial" w:cs="Arial"/>
          <w:i/>
          <w:iCs/>
          <w:sz w:val="20"/>
          <w:szCs w:val="20"/>
          <w:lang w:val="en-GB"/>
        </w:rPr>
        <w:t xml:space="preserve"> The administrator is the Czech Statistical Office. </w:t>
      </w:r>
      <w:r>
        <w:rPr>
          <w:rFonts w:ascii="Arial" w:hAnsi="Arial" w:cs="Arial"/>
          <w:i/>
          <w:sz w:val="20"/>
          <w:szCs w:val="20"/>
          <w:lang w:val="en-GB"/>
        </w:rPr>
        <w:t>The survey on waste</w:t>
      </w:r>
      <w:r w:rsidRPr="00903387">
        <w:rPr>
          <w:rFonts w:ascii="Arial" w:hAnsi="Arial" w:cs="Arial"/>
          <w:i/>
          <w:sz w:val="20"/>
          <w:szCs w:val="20"/>
          <w:lang w:val="en-GB"/>
        </w:rPr>
        <w:t xml:space="preserve"> has been expande</w:t>
      </w:r>
      <w:r>
        <w:rPr>
          <w:rFonts w:ascii="Arial" w:hAnsi="Arial" w:cs="Arial"/>
          <w:i/>
          <w:sz w:val="20"/>
          <w:szCs w:val="20"/>
          <w:lang w:val="en-GB"/>
        </w:rPr>
        <w:t>d by monitoring of </w:t>
      </w:r>
      <w:r w:rsidRPr="00903387">
        <w:rPr>
          <w:rFonts w:ascii="Arial" w:hAnsi="Arial" w:cs="Arial"/>
          <w:i/>
          <w:sz w:val="20"/>
          <w:szCs w:val="20"/>
          <w:lang w:val="en-GB"/>
        </w:rPr>
        <w:t>secondary raw materials issues</w:t>
      </w:r>
      <w:r>
        <w:rPr>
          <w:rFonts w:ascii="Arial" w:hAnsi="Arial" w:cs="Arial"/>
          <w:i/>
          <w:sz w:val="20"/>
          <w:szCs w:val="20"/>
          <w:lang w:val="en-GB"/>
        </w:rPr>
        <w:t xml:space="preserve"> since 2011</w:t>
      </w:r>
      <w:r w:rsidRPr="00903387">
        <w:rPr>
          <w:rFonts w:ascii="Arial" w:hAnsi="Arial" w:cs="Arial"/>
          <w:i/>
          <w:sz w:val="20"/>
          <w:szCs w:val="20"/>
          <w:lang w:val="en-GB"/>
        </w:rPr>
        <w:t>.</w:t>
      </w:r>
      <w:r>
        <w:rPr>
          <w:rFonts w:ascii="Arial" w:hAnsi="Arial" w:cs="Arial"/>
          <w:i/>
          <w:sz w:val="20"/>
          <w:szCs w:val="20"/>
          <w:lang w:val="en-GB"/>
        </w:rPr>
        <w:t xml:space="preserve"> This publication of “Generation</w:t>
      </w:r>
      <w:r w:rsidRPr="00903387">
        <w:rPr>
          <w:rFonts w:ascii="Arial" w:hAnsi="Arial" w:cs="Arial"/>
          <w:i/>
          <w:sz w:val="20"/>
          <w:szCs w:val="20"/>
          <w:lang w:val="en-GB"/>
        </w:rPr>
        <w:t xml:space="preserve">, </w:t>
      </w:r>
      <w:r>
        <w:rPr>
          <w:rFonts w:ascii="Arial" w:hAnsi="Arial" w:cs="Arial"/>
          <w:i/>
          <w:sz w:val="20"/>
          <w:szCs w:val="20"/>
          <w:lang w:val="en-GB"/>
        </w:rPr>
        <w:t>Recovery, and Disposal of Waste</w:t>
      </w:r>
      <w:r w:rsidRPr="00903387">
        <w:rPr>
          <w:rFonts w:ascii="Arial" w:hAnsi="Arial" w:cs="Arial"/>
          <w:i/>
          <w:sz w:val="20"/>
          <w:szCs w:val="20"/>
          <w:lang w:val="en-GB"/>
        </w:rPr>
        <w:t xml:space="preserve">” gives results acquired in the statistical survey. </w:t>
      </w:r>
    </w:p>
    <w:p w:rsidR="009E4CEE" w:rsidRPr="00903387" w:rsidRDefault="009E4CEE" w:rsidP="009E4CEE">
      <w:pPr>
        <w:pStyle w:val="Zkladntext"/>
        <w:spacing w:line="240" w:lineRule="atLeast"/>
        <w:ind w:left="0" w:firstLine="709"/>
        <w:rPr>
          <w:rFonts w:ascii="Arial" w:hAnsi="Arial" w:cs="Arial"/>
          <w:i/>
          <w:iCs/>
          <w:sz w:val="20"/>
          <w:szCs w:val="20"/>
          <w:lang w:val="en-GB"/>
        </w:rPr>
      </w:pPr>
      <w:r>
        <w:rPr>
          <w:rFonts w:ascii="Arial" w:hAnsi="Arial" w:cs="Arial"/>
          <w:i/>
          <w:iCs/>
          <w:sz w:val="20"/>
          <w:szCs w:val="20"/>
          <w:lang w:val="en-GB"/>
        </w:rPr>
        <w:t>Waste data</w:t>
      </w:r>
      <w:r w:rsidRPr="00903387">
        <w:rPr>
          <w:rFonts w:ascii="Arial" w:hAnsi="Arial" w:cs="Arial"/>
          <w:i/>
          <w:iCs/>
          <w:sz w:val="20"/>
          <w:szCs w:val="20"/>
          <w:lang w:val="en-GB"/>
        </w:rPr>
        <w:t xml:space="preserve"> given in tables and graphs were obtained by processing the data set with on the total</w:t>
      </w:r>
      <w:r>
        <w:rPr>
          <w:rFonts w:ascii="Arial" w:hAnsi="Arial" w:cs="Arial"/>
          <w:i/>
          <w:iCs/>
          <w:sz w:val="20"/>
          <w:szCs w:val="20"/>
          <w:lang w:val="en-GB"/>
        </w:rPr>
        <w:t xml:space="preserve"> number about 17 500 units</w:t>
      </w:r>
      <w:r w:rsidRPr="00903387">
        <w:rPr>
          <w:rFonts w:ascii="Arial" w:hAnsi="Arial" w:cs="Arial"/>
          <w:i/>
          <w:iCs/>
          <w:sz w:val="20"/>
          <w:szCs w:val="20"/>
          <w:lang w:val="en-GB"/>
        </w:rPr>
        <w:t>. The statistical survey at enterprises is conducted by the so-called “rotating model”. The model principle consists in that the questionnaire is sent every year only to the most important businesses (in terms of the quantity of waste generated or managed, generation of secondary raw materials, industry the enterprises carry out their business in, or according to the number of employees) while the remaining “rotational” portion of respondents is inquired onc</w:t>
      </w:r>
      <w:r>
        <w:rPr>
          <w:rFonts w:ascii="Arial" w:hAnsi="Arial" w:cs="Arial"/>
          <w:i/>
          <w:iCs/>
          <w:sz w:val="20"/>
          <w:szCs w:val="20"/>
          <w:lang w:val="en-GB"/>
        </w:rPr>
        <w:t>e every three years. Values for </w:t>
      </w:r>
      <w:r w:rsidRPr="00903387">
        <w:rPr>
          <w:rFonts w:ascii="Arial" w:hAnsi="Arial" w:cs="Arial"/>
          <w:i/>
          <w:iCs/>
          <w:sz w:val="20"/>
          <w:szCs w:val="20"/>
          <w:lang w:val="en-GB"/>
        </w:rPr>
        <w:t>respondents, that have not received the questionnaire in the reference year, are mathematically imputed.</w:t>
      </w:r>
      <w:r>
        <w:rPr>
          <w:rFonts w:ascii="Arial" w:hAnsi="Arial" w:cs="Arial"/>
          <w:i/>
          <w:iCs/>
          <w:sz w:val="20"/>
          <w:szCs w:val="20"/>
          <w:lang w:val="en-GB"/>
        </w:rPr>
        <w:t xml:space="preserve"> Municipal waste generation has been determined by combination of municipality sample survey, data from administrative system of waste records ISPOP and mathematical-statistical estimation methods. In 2018 was the first time used support from ISPOP system which reduced the municipalities sample size by more than 60% without negative impact on the statistical data quality published by the CZSO.</w:t>
      </w:r>
      <w:r w:rsidRPr="00903387">
        <w:rPr>
          <w:rFonts w:ascii="Arial" w:hAnsi="Arial" w:cs="Arial"/>
          <w:i/>
          <w:iCs/>
          <w:sz w:val="20"/>
          <w:szCs w:val="20"/>
          <w:lang w:val="en-GB"/>
        </w:rPr>
        <w:t xml:space="preserve"> The municipal waste generation was determined by mathematical and statistical met</w:t>
      </w:r>
      <w:r>
        <w:rPr>
          <w:rFonts w:ascii="Arial" w:hAnsi="Arial" w:cs="Arial"/>
          <w:i/>
          <w:iCs/>
          <w:sz w:val="20"/>
          <w:szCs w:val="20"/>
          <w:lang w:val="en-GB"/>
        </w:rPr>
        <w:t xml:space="preserve">hods from the data reported by </w:t>
      </w:r>
      <w:r w:rsidRPr="00903387">
        <w:rPr>
          <w:rFonts w:ascii="Arial" w:hAnsi="Arial" w:cs="Arial"/>
          <w:i/>
          <w:iCs/>
          <w:sz w:val="20"/>
          <w:szCs w:val="20"/>
          <w:lang w:val="en-GB"/>
        </w:rPr>
        <w:t>selected</w:t>
      </w:r>
      <w:r>
        <w:rPr>
          <w:rFonts w:ascii="Arial" w:hAnsi="Arial" w:cs="Arial"/>
          <w:i/>
          <w:iCs/>
          <w:sz w:val="20"/>
          <w:szCs w:val="20"/>
          <w:lang w:val="en-GB"/>
        </w:rPr>
        <w:t xml:space="preserve"> sample of </w:t>
      </w:r>
      <w:r w:rsidRPr="00903387">
        <w:rPr>
          <w:rFonts w:ascii="Arial" w:hAnsi="Arial" w:cs="Arial"/>
          <w:i/>
          <w:iCs/>
          <w:sz w:val="20"/>
          <w:szCs w:val="20"/>
          <w:lang w:val="en-GB"/>
        </w:rPr>
        <w:t>municipalities</w:t>
      </w:r>
      <w:r>
        <w:rPr>
          <w:rFonts w:ascii="Arial" w:hAnsi="Arial" w:cs="Arial"/>
          <w:i/>
          <w:iCs/>
          <w:sz w:val="20"/>
          <w:szCs w:val="20"/>
          <w:lang w:val="en-GB"/>
        </w:rPr>
        <w:t>, which contains waste from schools, authorities, small businesses</w:t>
      </w:r>
      <w:r w:rsidRPr="00903387">
        <w:rPr>
          <w:rFonts w:ascii="Arial" w:hAnsi="Arial" w:cs="Arial"/>
          <w:i/>
          <w:iCs/>
          <w:sz w:val="20"/>
          <w:szCs w:val="20"/>
          <w:lang w:val="en-GB"/>
        </w:rPr>
        <w:t xml:space="preserve">. </w:t>
      </w:r>
    </w:p>
    <w:p w:rsidR="009E4CEE" w:rsidRPr="00903387" w:rsidRDefault="009E4CEE" w:rsidP="009E4CEE">
      <w:pPr>
        <w:pStyle w:val="Zkladntextodsazen3"/>
        <w:spacing w:after="0"/>
        <w:ind w:left="0" w:firstLine="709"/>
        <w:rPr>
          <w:i/>
          <w:iCs/>
          <w:szCs w:val="20"/>
        </w:rPr>
      </w:pPr>
      <w:r w:rsidRPr="00903387">
        <w:rPr>
          <w:i/>
          <w:iCs/>
          <w:szCs w:val="20"/>
        </w:rPr>
        <w:t>Statistical data on waste enable a double view. Either one can start from the breakdown of </w:t>
      </w:r>
      <w:r>
        <w:rPr>
          <w:i/>
          <w:iCs/>
          <w:szCs w:val="20"/>
        </w:rPr>
        <w:t>enterprises by activity and</w:t>
      </w:r>
      <w:r w:rsidRPr="00903387">
        <w:rPr>
          <w:i/>
          <w:iCs/>
          <w:szCs w:val="20"/>
        </w:rPr>
        <w:t xml:space="preserve"> then the data can provide information on all the waste generated in a given economic activity, or one can concentrate on the type of waste, or a group thereof, according to the List of Waste and thus determine the generation of waste, or groups of wastes, across all the measured activities. The enterprises falling within this statistical survey are classified to respective activities by their principal economic activity, which is indicated in the Statistical Business Register.</w:t>
      </w:r>
    </w:p>
    <w:p w:rsidR="009E4CEE" w:rsidRPr="00903387" w:rsidRDefault="009E4CEE" w:rsidP="009E4CEE">
      <w:pPr>
        <w:pStyle w:val="Zkladntextodsazen3"/>
        <w:spacing w:after="0"/>
        <w:ind w:left="0" w:firstLine="709"/>
        <w:rPr>
          <w:i/>
          <w:iCs/>
          <w:szCs w:val="20"/>
        </w:rPr>
      </w:pPr>
      <w:r w:rsidRPr="00903387">
        <w:rPr>
          <w:i/>
          <w:iCs/>
          <w:szCs w:val="20"/>
        </w:rPr>
        <w:t>For the reason of individual data protection</w:t>
      </w:r>
      <w:r>
        <w:rPr>
          <w:i/>
          <w:iCs/>
          <w:szCs w:val="20"/>
        </w:rPr>
        <w:t>,</w:t>
      </w:r>
      <w:r w:rsidRPr="00903387">
        <w:rPr>
          <w:i/>
          <w:iCs/>
          <w:szCs w:val="20"/>
        </w:rPr>
        <w:t xml:space="preserve"> the detailed </w:t>
      </w:r>
      <w:r>
        <w:rPr>
          <w:i/>
          <w:iCs/>
          <w:szCs w:val="20"/>
        </w:rPr>
        <w:t>tables include</w:t>
      </w:r>
      <w:r w:rsidRPr="00903387">
        <w:rPr>
          <w:i/>
          <w:iCs/>
          <w:szCs w:val="20"/>
        </w:rPr>
        <w:t xml:space="preserve"> only those types of waste that were reported by three or more producers.</w:t>
      </w:r>
    </w:p>
    <w:p w:rsidR="009E4CEE" w:rsidRPr="00351B40" w:rsidRDefault="009E4CEE" w:rsidP="009E4CEE">
      <w:pPr>
        <w:rPr>
          <w:rFonts w:ascii="Arial" w:eastAsia="MS Gothic" w:hAnsi="Arial"/>
          <w:b/>
          <w:bCs/>
          <w:i/>
          <w:color w:val="0071BC"/>
          <w:sz w:val="28"/>
          <w:szCs w:val="26"/>
          <w:lang w:val="cs-CZ"/>
        </w:rPr>
      </w:pPr>
      <w:proofErr w:type="spellStart"/>
      <w:r w:rsidRPr="00351B40">
        <w:rPr>
          <w:rFonts w:ascii="Arial" w:eastAsia="MS Gothic" w:hAnsi="Arial"/>
          <w:b/>
          <w:bCs/>
          <w:i/>
          <w:color w:val="0071BC"/>
          <w:sz w:val="28"/>
          <w:szCs w:val="26"/>
          <w:lang w:val="cs-CZ"/>
        </w:rPr>
        <w:t>Definitions</w:t>
      </w:r>
      <w:proofErr w:type="spellEnd"/>
    </w:p>
    <w:p w:rsidR="009E4CEE" w:rsidRPr="00903387" w:rsidRDefault="009E4CEE" w:rsidP="009E4CEE">
      <w:pPr>
        <w:pStyle w:val="Normlnweb"/>
        <w:spacing w:before="0" w:beforeAutospacing="0" w:after="0" w:afterAutospacing="0"/>
        <w:ind w:left="0" w:firstLine="709"/>
        <w:jc w:val="both"/>
        <w:rPr>
          <w:rFonts w:ascii="Arial" w:hAnsi="Arial" w:cs="Arial"/>
          <w:i/>
          <w:iCs/>
          <w:color w:val="000000"/>
          <w:sz w:val="20"/>
          <w:szCs w:val="20"/>
          <w:lang w:val="en-GB"/>
        </w:rPr>
      </w:pPr>
      <w:r w:rsidRPr="00903387">
        <w:rPr>
          <w:rFonts w:ascii="Arial" w:hAnsi="Arial" w:cs="Arial"/>
          <w:i/>
          <w:iCs/>
          <w:color w:val="auto"/>
          <w:sz w:val="20"/>
          <w:szCs w:val="20"/>
          <w:lang w:val="en-GB"/>
        </w:rPr>
        <w:t>The statistical survey on waste is carried out in compliance with the Regulation of the European Parliament and of the Council No 2150/2002/EC on waste statistics</w:t>
      </w:r>
      <w:r w:rsidRPr="00903387">
        <w:rPr>
          <w:rFonts w:ascii="Arial" w:hAnsi="Arial" w:cs="Arial"/>
          <w:bCs/>
          <w:i/>
          <w:iCs/>
          <w:color w:val="auto"/>
          <w:sz w:val="20"/>
          <w:szCs w:val="20"/>
          <w:lang w:val="en-GB"/>
        </w:rPr>
        <w:t xml:space="preserve"> and </w:t>
      </w:r>
      <w:r>
        <w:rPr>
          <w:rFonts w:ascii="Arial" w:hAnsi="Arial" w:cs="Arial"/>
          <w:bCs/>
          <w:i/>
          <w:iCs/>
          <w:color w:val="auto"/>
          <w:sz w:val="20"/>
          <w:szCs w:val="20"/>
          <w:lang w:val="en-GB"/>
        </w:rPr>
        <w:t>Waste Framework Directive 2008/98/EC. Especially these regulations regulated waste treatment operations and defined common basic terms.</w:t>
      </w:r>
    </w:p>
    <w:p w:rsidR="009E4CEE" w:rsidRPr="00903387" w:rsidRDefault="009E4CEE" w:rsidP="009E4CEE">
      <w:pPr>
        <w:pStyle w:val="Normlnweb"/>
        <w:spacing w:before="0" w:beforeAutospacing="0" w:after="0" w:afterAutospacing="0"/>
        <w:ind w:left="0" w:firstLine="0"/>
        <w:jc w:val="both"/>
        <w:rPr>
          <w:rFonts w:ascii="Arial" w:hAnsi="Arial" w:cs="Arial"/>
          <w:i/>
          <w:iCs/>
          <w:color w:val="auto"/>
          <w:sz w:val="20"/>
          <w:szCs w:val="20"/>
          <w:lang w:val="en-GB"/>
        </w:rPr>
      </w:pPr>
      <w:r w:rsidRPr="00903387">
        <w:rPr>
          <w:rFonts w:ascii="Arial" w:hAnsi="Arial" w:cs="Arial"/>
          <w:b/>
          <w:bCs/>
          <w:i/>
          <w:iCs/>
          <w:color w:val="auto"/>
          <w:sz w:val="20"/>
          <w:szCs w:val="20"/>
          <w:lang w:val="en-GB"/>
        </w:rPr>
        <w:t>Waste</w:t>
      </w:r>
      <w:r w:rsidRPr="00903387">
        <w:rPr>
          <w:rFonts w:ascii="Arial" w:hAnsi="Arial" w:cs="Arial"/>
          <w:i/>
          <w:iCs/>
          <w:color w:val="auto"/>
          <w:sz w:val="20"/>
          <w:szCs w:val="20"/>
          <w:lang w:val="en-GB"/>
        </w:rPr>
        <w:t xml:space="preserve"> </w:t>
      </w:r>
      <w:r>
        <w:rPr>
          <w:rFonts w:ascii="Arial" w:hAnsi="Arial" w:cs="Arial"/>
          <w:i/>
          <w:iCs/>
          <w:color w:val="auto"/>
          <w:sz w:val="20"/>
          <w:szCs w:val="20"/>
          <w:lang w:val="en-GB"/>
        </w:rPr>
        <w:t>means any substance or object which the holder discards or intends or is required to discard.</w:t>
      </w:r>
    </w:p>
    <w:p w:rsidR="009E4CEE" w:rsidRPr="00903387" w:rsidRDefault="009E4CEE" w:rsidP="009E4CEE">
      <w:pPr>
        <w:pStyle w:val="Normlnweb"/>
        <w:spacing w:before="0" w:beforeAutospacing="0" w:after="0" w:afterAutospacing="0"/>
        <w:ind w:left="0" w:firstLine="0"/>
        <w:jc w:val="both"/>
        <w:rPr>
          <w:rFonts w:ascii="Arial" w:hAnsi="Arial" w:cs="Arial"/>
          <w:b/>
          <w:bCs/>
          <w:i/>
          <w:iCs/>
          <w:color w:val="auto"/>
          <w:sz w:val="20"/>
          <w:szCs w:val="20"/>
          <w:lang w:val="en-GB"/>
        </w:rPr>
      </w:pPr>
      <w:r w:rsidRPr="00903387">
        <w:rPr>
          <w:rFonts w:ascii="Arial" w:hAnsi="Arial" w:cs="Arial"/>
          <w:bCs/>
          <w:i/>
          <w:iCs/>
          <w:color w:val="auto"/>
          <w:sz w:val="20"/>
          <w:szCs w:val="20"/>
          <w:lang w:val="en-GB"/>
        </w:rPr>
        <w:t xml:space="preserve">The </w:t>
      </w:r>
      <w:r w:rsidRPr="00903387">
        <w:rPr>
          <w:rFonts w:ascii="Arial" w:hAnsi="Arial" w:cs="Arial"/>
          <w:b/>
          <w:bCs/>
          <w:i/>
          <w:iCs/>
          <w:color w:val="auto"/>
          <w:sz w:val="20"/>
          <w:szCs w:val="20"/>
          <w:lang w:val="en-GB"/>
        </w:rPr>
        <w:t>hazardous waste</w:t>
      </w:r>
      <w:r w:rsidRPr="00903387">
        <w:rPr>
          <w:rFonts w:ascii="Arial" w:hAnsi="Arial" w:cs="Arial"/>
          <w:i/>
          <w:iCs/>
          <w:color w:val="auto"/>
          <w:sz w:val="20"/>
          <w:szCs w:val="20"/>
          <w:lang w:val="en-GB"/>
        </w:rPr>
        <w:t xml:space="preserve"> </w:t>
      </w:r>
      <w:r>
        <w:rPr>
          <w:rFonts w:ascii="Arial" w:hAnsi="Arial" w:cs="Arial"/>
          <w:i/>
          <w:iCs/>
          <w:color w:val="auto"/>
          <w:sz w:val="20"/>
          <w:szCs w:val="20"/>
          <w:lang w:val="en-GB"/>
        </w:rPr>
        <w:t>is waste displays one or more of the hazardous properties listed in the Commission regulation (EU) No 1357/2014 of 18 December 2014 replacing Annex III to Directive 2008/98/EC of the European Parliament and of the Council on waste and repealing certain Directives.</w:t>
      </w:r>
    </w:p>
    <w:p w:rsidR="009E4CEE" w:rsidRDefault="009E4CEE" w:rsidP="009E4CEE">
      <w:pPr>
        <w:pStyle w:val="Normlnweb"/>
        <w:spacing w:before="0" w:beforeAutospacing="0" w:after="0" w:afterAutospacing="0"/>
        <w:ind w:left="0" w:firstLine="0"/>
        <w:jc w:val="both"/>
        <w:rPr>
          <w:rFonts w:ascii="Arial" w:hAnsi="Arial" w:cs="Arial"/>
          <w:i/>
          <w:iCs/>
          <w:color w:val="auto"/>
          <w:sz w:val="20"/>
          <w:szCs w:val="17"/>
          <w:lang w:val="en-GB"/>
        </w:rPr>
      </w:pPr>
      <w:r w:rsidRPr="00903387">
        <w:rPr>
          <w:rFonts w:ascii="Arial" w:hAnsi="Arial" w:cs="Arial"/>
          <w:bCs/>
          <w:i/>
          <w:iCs/>
          <w:color w:val="auto"/>
          <w:sz w:val="20"/>
          <w:szCs w:val="20"/>
          <w:lang w:val="en-GB"/>
        </w:rPr>
        <w:t xml:space="preserve">The </w:t>
      </w:r>
      <w:r w:rsidRPr="00903387">
        <w:rPr>
          <w:rFonts w:ascii="Arial" w:hAnsi="Arial" w:cs="Arial"/>
          <w:b/>
          <w:bCs/>
          <w:i/>
          <w:iCs/>
          <w:color w:val="auto"/>
          <w:sz w:val="20"/>
          <w:szCs w:val="20"/>
          <w:lang w:val="en-GB"/>
        </w:rPr>
        <w:t>waste management</w:t>
      </w:r>
      <w:r w:rsidRPr="00903387">
        <w:rPr>
          <w:rFonts w:ascii="Arial" w:hAnsi="Arial" w:cs="Arial"/>
          <w:i/>
          <w:iCs/>
          <w:color w:val="auto"/>
          <w:sz w:val="20"/>
          <w:szCs w:val="20"/>
          <w:lang w:val="en-GB"/>
        </w:rPr>
        <w:t xml:space="preserve"> </w:t>
      </w:r>
      <w:r>
        <w:rPr>
          <w:rFonts w:ascii="Arial" w:hAnsi="Arial" w:cs="Arial"/>
          <w:i/>
          <w:iCs/>
          <w:color w:val="auto"/>
          <w:sz w:val="20"/>
          <w:szCs w:val="17"/>
          <w:lang w:val="en-GB"/>
        </w:rPr>
        <w:t>means the collection, transport, recovery and disposal of waste, including the supervision of such operations and the after-care of disposal sites, and including actions taken as a dealer or broker.</w:t>
      </w:r>
    </w:p>
    <w:p w:rsidR="009E4CEE" w:rsidRDefault="009E4CEE" w:rsidP="009E4CEE">
      <w:pPr>
        <w:pStyle w:val="Normlnweb"/>
        <w:spacing w:before="0" w:beforeAutospacing="0" w:after="0" w:afterAutospacing="0"/>
        <w:ind w:left="0" w:firstLine="0"/>
        <w:jc w:val="both"/>
        <w:rPr>
          <w:rFonts w:ascii="Arial" w:hAnsi="Arial" w:cs="Arial"/>
          <w:i/>
          <w:iCs/>
          <w:color w:val="auto"/>
          <w:sz w:val="20"/>
          <w:szCs w:val="17"/>
          <w:lang w:val="en-GB"/>
        </w:rPr>
      </w:pPr>
      <w:r w:rsidRPr="00C606C1">
        <w:rPr>
          <w:rFonts w:ascii="Arial" w:hAnsi="Arial" w:cs="Arial"/>
          <w:b/>
          <w:i/>
          <w:iCs/>
          <w:color w:val="auto"/>
          <w:sz w:val="20"/>
          <w:szCs w:val="17"/>
          <w:lang w:val="en-GB"/>
        </w:rPr>
        <w:t>Operations of waste management</w:t>
      </w:r>
      <w:r>
        <w:rPr>
          <w:rFonts w:ascii="Arial" w:hAnsi="Arial" w:cs="Arial"/>
          <w:i/>
          <w:iCs/>
          <w:color w:val="auto"/>
          <w:sz w:val="20"/>
          <w:szCs w:val="17"/>
          <w:lang w:val="en-GB"/>
        </w:rPr>
        <w:t xml:space="preserve"> are subdivided according to the </w:t>
      </w:r>
      <w:r w:rsidRPr="00781E52">
        <w:rPr>
          <w:rFonts w:ascii="Arial" w:hAnsi="Arial" w:cs="Arial"/>
          <w:i/>
          <w:iCs/>
          <w:color w:val="auto"/>
          <w:sz w:val="20"/>
          <w:szCs w:val="17"/>
          <w:lang w:val="en-GB"/>
        </w:rPr>
        <w:t>Regu</w:t>
      </w:r>
      <w:r>
        <w:rPr>
          <w:rFonts w:ascii="Arial" w:hAnsi="Arial" w:cs="Arial"/>
          <w:i/>
          <w:iCs/>
          <w:color w:val="auto"/>
          <w:sz w:val="20"/>
          <w:szCs w:val="17"/>
          <w:lang w:val="en-GB"/>
        </w:rPr>
        <w:t>lation (EC) No 2150/2002 of the </w:t>
      </w:r>
      <w:r w:rsidRPr="00781E52">
        <w:rPr>
          <w:rFonts w:ascii="Arial" w:hAnsi="Arial" w:cs="Arial"/>
          <w:i/>
          <w:iCs/>
          <w:color w:val="auto"/>
          <w:sz w:val="20"/>
          <w:szCs w:val="17"/>
          <w:lang w:val="en-GB"/>
        </w:rPr>
        <w:t>European Parliament and of the Council of 25 November 2002 on waste statistics</w:t>
      </w:r>
      <w:r>
        <w:rPr>
          <w:rFonts w:ascii="Arial" w:hAnsi="Arial" w:cs="Arial"/>
          <w:bCs/>
          <w:i/>
          <w:iCs/>
          <w:color w:val="auto"/>
          <w:sz w:val="20"/>
          <w:szCs w:val="17"/>
          <w:lang w:val="en-GB"/>
        </w:rPr>
        <w:t>, as amended,</w:t>
      </w:r>
      <w:r>
        <w:rPr>
          <w:rFonts w:ascii="Arial" w:hAnsi="Arial" w:cs="Arial"/>
          <w:i/>
          <w:iCs/>
          <w:color w:val="auto"/>
          <w:sz w:val="20"/>
          <w:szCs w:val="17"/>
          <w:lang w:val="en-GB"/>
        </w:rPr>
        <w:t xml:space="preserve"> into groups as follows. </w:t>
      </w:r>
    </w:p>
    <w:p w:rsidR="009E4CEE" w:rsidRPr="00903387" w:rsidRDefault="009E4CEE" w:rsidP="009E4CEE">
      <w:pPr>
        <w:pStyle w:val="Normlnweb"/>
        <w:spacing w:before="0" w:beforeAutospacing="0" w:after="0" w:afterAutospacing="0"/>
        <w:ind w:left="0" w:firstLine="709"/>
        <w:jc w:val="both"/>
        <w:rPr>
          <w:rFonts w:ascii="Arial" w:hAnsi="Arial" w:cs="Arial"/>
          <w:i/>
          <w:iCs/>
          <w:sz w:val="20"/>
          <w:szCs w:val="20"/>
          <w:lang w:val="en-GB"/>
        </w:rPr>
      </w:pPr>
      <w:r w:rsidRPr="00903387">
        <w:rPr>
          <w:rFonts w:ascii="Arial" w:hAnsi="Arial" w:cs="Arial"/>
          <w:i/>
          <w:iCs/>
          <w:color w:val="auto"/>
          <w:sz w:val="20"/>
          <w:szCs w:val="20"/>
          <w:lang w:val="en-GB"/>
        </w:rPr>
        <w:t xml:space="preserve">- </w:t>
      </w:r>
      <w:r w:rsidRPr="00903387">
        <w:rPr>
          <w:rFonts w:ascii="Arial" w:hAnsi="Arial" w:cs="Arial"/>
          <w:b/>
          <w:bCs/>
          <w:i/>
          <w:iCs/>
          <w:color w:val="auto"/>
          <w:sz w:val="20"/>
          <w:szCs w:val="20"/>
          <w:lang w:val="en-GB"/>
        </w:rPr>
        <w:t xml:space="preserve">waste recovery - </w:t>
      </w:r>
      <w:r w:rsidRPr="00903387">
        <w:rPr>
          <w:rFonts w:ascii="Arial" w:hAnsi="Arial" w:cs="Arial"/>
          <w:i/>
          <w:iCs/>
          <w:color w:val="auto"/>
          <w:sz w:val="20"/>
          <w:szCs w:val="20"/>
          <w:lang w:val="en-GB"/>
        </w:rPr>
        <w:t>activities given in the Annex No</w:t>
      </w:r>
      <w:r>
        <w:rPr>
          <w:rFonts w:ascii="Arial" w:hAnsi="Arial" w:cs="Arial"/>
          <w:i/>
          <w:iCs/>
          <w:color w:val="auto"/>
          <w:sz w:val="20"/>
          <w:szCs w:val="20"/>
          <w:lang w:val="en-GB"/>
        </w:rPr>
        <w:t> II</w:t>
      </w:r>
      <w:r w:rsidRPr="00903387">
        <w:rPr>
          <w:rFonts w:ascii="Arial" w:hAnsi="Arial" w:cs="Arial"/>
          <w:i/>
          <w:iCs/>
          <w:color w:val="auto"/>
          <w:sz w:val="20"/>
          <w:szCs w:val="20"/>
          <w:lang w:val="en-GB"/>
        </w:rPr>
        <w:t xml:space="preserve"> </w:t>
      </w:r>
      <w:r>
        <w:rPr>
          <w:rFonts w:ascii="Arial" w:hAnsi="Arial" w:cs="Arial"/>
          <w:i/>
          <w:iCs/>
          <w:color w:val="auto"/>
          <w:sz w:val="20"/>
          <w:szCs w:val="20"/>
          <w:lang w:val="en-GB"/>
        </w:rPr>
        <w:t>to the Regulation above mentioned;</w:t>
      </w:r>
      <w:r w:rsidRPr="00903387">
        <w:rPr>
          <w:rFonts w:ascii="Arial" w:hAnsi="Arial" w:cs="Arial"/>
          <w:i/>
          <w:iCs/>
          <w:color w:val="auto"/>
          <w:sz w:val="20"/>
          <w:szCs w:val="20"/>
          <w:lang w:val="en-GB"/>
        </w:rPr>
        <w:t xml:space="preserve"> </w:t>
      </w:r>
    </w:p>
    <w:p w:rsidR="009E4CEE" w:rsidRPr="00903387" w:rsidRDefault="009E4CEE" w:rsidP="009E4CEE">
      <w:pPr>
        <w:pStyle w:val="Normlnweb"/>
        <w:spacing w:before="0" w:beforeAutospacing="0" w:after="0" w:afterAutospacing="0"/>
        <w:ind w:left="0" w:firstLine="709"/>
        <w:jc w:val="both"/>
        <w:rPr>
          <w:rFonts w:ascii="Arial" w:hAnsi="Arial" w:cs="Arial"/>
          <w:i/>
          <w:iCs/>
          <w:color w:val="auto"/>
          <w:sz w:val="20"/>
          <w:szCs w:val="20"/>
          <w:lang w:val="en-GB"/>
        </w:rPr>
      </w:pPr>
      <w:r w:rsidRPr="00903387">
        <w:rPr>
          <w:rFonts w:ascii="Arial" w:hAnsi="Arial" w:cs="Arial"/>
          <w:i/>
          <w:iCs/>
          <w:color w:val="auto"/>
          <w:sz w:val="20"/>
          <w:szCs w:val="20"/>
          <w:lang w:val="en-GB"/>
        </w:rPr>
        <w:t xml:space="preserve">- </w:t>
      </w:r>
      <w:r w:rsidRPr="00903387">
        <w:rPr>
          <w:rFonts w:ascii="Arial" w:hAnsi="Arial" w:cs="Arial"/>
          <w:b/>
          <w:bCs/>
          <w:i/>
          <w:iCs/>
          <w:color w:val="auto"/>
          <w:sz w:val="20"/>
          <w:szCs w:val="20"/>
          <w:lang w:val="en-GB"/>
        </w:rPr>
        <w:t xml:space="preserve">waste disposal - </w:t>
      </w:r>
      <w:r w:rsidRPr="00903387">
        <w:rPr>
          <w:rFonts w:ascii="Arial" w:hAnsi="Arial" w:cs="Arial"/>
          <w:i/>
          <w:iCs/>
          <w:color w:val="auto"/>
          <w:sz w:val="20"/>
          <w:szCs w:val="20"/>
          <w:lang w:val="en-GB"/>
        </w:rPr>
        <w:t>activities given in the Annex No</w:t>
      </w:r>
      <w:r>
        <w:rPr>
          <w:rFonts w:ascii="Arial" w:hAnsi="Arial" w:cs="Arial"/>
          <w:i/>
          <w:iCs/>
          <w:color w:val="auto"/>
          <w:sz w:val="20"/>
          <w:szCs w:val="20"/>
          <w:lang w:val="en-GB"/>
        </w:rPr>
        <w:t xml:space="preserve"> II</w:t>
      </w:r>
      <w:r w:rsidRPr="00903387">
        <w:rPr>
          <w:rFonts w:ascii="Arial" w:hAnsi="Arial" w:cs="Arial"/>
          <w:i/>
          <w:iCs/>
          <w:color w:val="auto"/>
          <w:sz w:val="20"/>
          <w:szCs w:val="20"/>
          <w:lang w:val="en-GB"/>
        </w:rPr>
        <w:t xml:space="preserve"> </w:t>
      </w:r>
      <w:r>
        <w:rPr>
          <w:rFonts w:ascii="Arial" w:hAnsi="Arial" w:cs="Arial"/>
          <w:i/>
          <w:iCs/>
          <w:color w:val="auto"/>
          <w:sz w:val="20"/>
          <w:szCs w:val="20"/>
          <w:lang w:val="en-GB"/>
        </w:rPr>
        <w:t>to the Regulation above mentioned.</w:t>
      </w:r>
    </w:p>
    <w:p w:rsidR="009E4CEE" w:rsidRDefault="009E4CEE" w:rsidP="009E4CEE">
      <w:pPr>
        <w:ind w:left="0" w:firstLine="0"/>
        <w:jc w:val="both"/>
        <w:rPr>
          <w:rFonts w:ascii="Arial" w:hAnsi="Arial" w:cs="Arial"/>
          <w:i/>
          <w:iCs/>
          <w:sz w:val="20"/>
          <w:szCs w:val="20"/>
          <w:lang w:val="en-GB"/>
        </w:rPr>
      </w:pPr>
      <w:r w:rsidRPr="00903387">
        <w:rPr>
          <w:rFonts w:ascii="Arial" w:hAnsi="Arial" w:cs="Arial"/>
          <w:i/>
          <w:iCs/>
          <w:sz w:val="20"/>
          <w:szCs w:val="20"/>
          <w:lang w:val="en-GB"/>
        </w:rPr>
        <w:t>According to the Commission Decision 2011/753/EU</w:t>
      </w:r>
      <w:r w:rsidRPr="00903387">
        <w:rPr>
          <w:rFonts w:ascii="Arial" w:hAnsi="Arial" w:cs="Arial"/>
          <w:bCs/>
          <w:i/>
          <w:iCs/>
          <w:sz w:val="20"/>
          <w:szCs w:val="20"/>
          <w:lang w:val="en-GB"/>
        </w:rPr>
        <w:t xml:space="preserve"> </w:t>
      </w:r>
      <w:r w:rsidRPr="00903387">
        <w:rPr>
          <w:rFonts w:ascii="Arial" w:hAnsi="Arial" w:cs="Arial"/>
          <w:b/>
          <w:bCs/>
          <w:i/>
          <w:iCs/>
          <w:sz w:val="20"/>
          <w:szCs w:val="20"/>
          <w:lang w:val="en-GB"/>
        </w:rPr>
        <w:t>municipal waste</w:t>
      </w:r>
      <w:r w:rsidRPr="00903387">
        <w:rPr>
          <w:rFonts w:ascii="Arial" w:hAnsi="Arial" w:cs="Arial"/>
          <w:i/>
          <w:iCs/>
          <w:sz w:val="20"/>
          <w:szCs w:val="20"/>
          <w:lang w:val="en-GB"/>
        </w:rPr>
        <w:t xml:space="preserve"> shall mean</w:t>
      </w:r>
      <w:r>
        <w:rPr>
          <w:rFonts w:ascii="Arial" w:hAnsi="Arial" w:cs="Arial"/>
          <w:i/>
          <w:iCs/>
          <w:sz w:val="20"/>
          <w:szCs w:val="20"/>
          <w:lang w:val="en-GB"/>
        </w:rPr>
        <w:t>s household waste and </w:t>
      </w:r>
      <w:r w:rsidRPr="00903387">
        <w:rPr>
          <w:rFonts w:ascii="Arial" w:hAnsi="Arial" w:cs="Arial"/>
          <w:i/>
          <w:iCs/>
          <w:sz w:val="20"/>
          <w:szCs w:val="20"/>
          <w:lang w:val="en-GB"/>
        </w:rPr>
        <w:t>similar waste. Household waste means waste generated by households and similar waste means waste in nature and composition comparable to household</w:t>
      </w:r>
      <w:r>
        <w:rPr>
          <w:rFonts w:ascii="Arial" w:hAnsi="Arial" w:cs="Arial"/>
          <w:i/>
          <w:iCs/>
          <w:sz w:val="20"/>
          <w:szCs w:val="20"/>
          <w:lang w:val="en-GB"/>
        </w:rPr>
        <w:t>´</w:t>
      </w:r>
      <w:r w:rsidRPr="00903387">
        <w:rPr>
          <w:rFonts w:ascii="Arial" w:hAnsi="Arial" w:cs="Arial"/>
          <w:i/>
          <w:iCs/>
          <w:sz w:val="20"/>
          <w:szCs w:val="20"/>
          <w:lang w:val="en-GB"/>
        </w:rPr>
        <w:t xml:space="preserve">s waste, excluding production waste and waste from agriculture and forestry. </w:t>
      </w:r>
    </w:p>
    <w:p w:rsidR="009E4CEE" w:rsidRPr="00903387" w:rsidRDefault="009E4CEE" w:rsidP="009E4CEE">
      <w:pPr>
        <w:ind w:left="0" w:firstLine="0"/>
        <w:jc w:val="both"/>
        <w:rPr>
          <w:rFonts w:ascii="Arial" w:hAnsi="Arial" w:cs="Arial"/>
          <w:bCs/>
          <w:i/>
          <w:sz w:val="20"/>
          <w:szCs w:val="20"/>
          <w:lang w:val="en-GB"/>
        </w:rPr>
      </w:pPr>
      <w:r w:rsidRPr="00E0025D">
        <w:rPr>
          <w:rFonts w:ascii="Arial" w:hAnsi="Arial" w:cs="Arial"/>
          <w:b/>
          <w:i/>
          <w:iCs/>
          <w:sz w:val="20"/>
          <w:szCs w:val="20"/>
          <w:lang w:val="en-GB"/>
        </w:rPr>
        <w:t>Bio</w:t>
      </w:r>
      <w:r>
        <w:rPr>
          <w:rFonts w:ascii="Arial" w:hAnsi="Arial" w:cs="Arial"/>
          <w:b/>
          <w:i/>
          <w:iCs/>
          <w:sz w:val="20"/>
          <w:szCs w:val="20"/>
          <w:lang w:val="en-GB"/>
        </w:rPr>
        <w:t>degradable waste,</w:t>
      </w:r>
      <w:r>
        <w:rPr>
          <w:rFonts w:ascii="Arial" w:hAnsi="Arial" w:cs="Arial"/>
          <w:i/>
          <w:iCs/>
          <w:sz w:val="20"/>
          <w:szCs w:val="20"/>
          <w:lang w:val="en-GB"/>
        </w:rPr>
        <w:t xml:space="preserve"> in accordance with the Council Directive 1999/31/EC on the landfill of waste, means any waste that is capable of undergoing anaerobic or decomposition, such as food and garden waste, paper and paperboard.</w:t>
      </w:r>
    </w:p>
    <w:p w:rsidR="009E4CEE" w:rsidRPr="00903387" w:rsidRDefault="009E4CEE" w:rsidP="009E4CEE">
      <w:pPr>
        <w:pStyle w:val="Normlnweb"/>
        <w:spacing w:before="0" w:beforeAutospacing="0" w:after="0" w:afterAutospacing="0"/>
        <w:ind w:left="0" w:firstLine="0"/>
        <w:jc w:val="both"/>
        <w:rPr>
          <w:rFonts w:ascii="Arial" w:hAnsi="Arial" w:cs="Arial"/>
          <w:i/>
          <w:iCs/>
          <w:color w:val="auto"/>
          <w:sz w:val="20"/>
          <w:szCs w:val="20"/>
          <w:lang w:val="en-GB"/>
        </w:rPr>
      </w:pPr>
      <w:r w:rsidRPr="00903387">
        <w:rPr>
          <w:rFonts w:ascii="Arial" w:hAnsi="Arial" w:cs="Arial"/>
          <w:bCs/>
          <w:i/>
          <w:iCs/>
          <w:color w:val="auto"/>
          <w:sz w:val="20"/>
          <w:szCs w:val="20"/>
          <w:lang w:val="en-GB"/>
        </w:rPr>
        <w:t xml:space="preserve">The </w:t>
      </w:r>
      <w:r w:rsidRPr="00903387">
        <w:rPr>
          <w:rFonts w:ascii="Arial" w:hAnsi="Arial" w:cs="Arial"/>
          <w:b/>
          <w:bCs/>
          <w:i/>
          <w:iCs/>
          <w:color w:val="auto"/>
          <w:sz w:val="20"/>
          <w:szCs w:val="20"/>
          <w:lang w:val="en-GB"/>
        </w:rPr>
        <w:t xml:space="preserve">common waste collection </w:t>
      </w:r>
      <w:r w:rsidRPr="00903387">
        <w:rPr>
          <w:rFonts w:ascii="Arial" w:hAnsi="Arial" w:cs="Arial"/>
          <w:bCs/>
          <w:i/>
          <w:iCs/>
          <w:color w:val="auto"/>
          <w:sz w:val="20"/>
          <w:szCs w:val="20"/>
          <w:lang w:val="en-GB"/>
        </w:rPr>
        <w:t>shall mean</w:t>
      </w:r>
      <w:r w:rsidRPr="00903387">
        <w:rPr>
          <w:rFonts w:ascii="Arial" w:hAnsi="Arial" w:cs="Arial"/>
          <w:i/>
          <w:iCs/>
          <w:color w:val="auto"/>
          <w:sz w:val="20"/>
          <w:szCs w:val="20"/>
          <w:lang w:val="en-GB"/>
        </w:rPr>
        <w:t xml:space="preserve"> the collection of mixed waste (dustbins, containers, or in bags).</w:t>
      </w:r>
    </w:p>
    <w:p w:rsidR="009E4CEE" w:rsidRPr="00903387" w:rsidRDefault="009E4CEE" w:rsidP="009E4CEE">
      <w:pPr>
        <w:ind w:left="0" w:firstLine="0"/>
        <w:jc w:val="both"/>
        <w:rPr>
          <w:rFonts w:ascii="Arial" w:hAnsi="Arial" w:cs="Arial"/>
          <w:i/>
          <w:iCs/>
          <w:sz w:val="20"/>
          <w:szCs w:val="20"/>
          <w:lang w:val="en-GB"/>
        </w:rPr>
      </w:pPr>
      <w:bookmarkStart w:id="0" w:name="_Toc52077395"/>
      <w:r w:rsidRPr="00903387">
        <w:rPr>
          <w:rFonts w:ascii="Arial" w:hAnsi="Arial" w:cs="Arial"/>
          <w:bCs/>
          <w:i/>
          <w:iCs/>
          <w:sz w:val="20"/>
          <w:szCs w:val="20"/>
          <w:lang w:val="en-GB"/>
        </w:rPr>
        <w:t xml:space="preserve">The </w:t>
      </w:r>
      <w:r w:rsidRPr="00903387">
        <w:rPr>
          <w:rFonts w:ascii="Arial" w:hAnsi="Arial" w:cs="Arial"/>
          <w:b/>
          <w:bCs/>
          <w:i/>
          <w:iCs/>
          <w:sz w:val="20"/>
          <w:szCs w:val="20"/>
          <w:lang w:val="en-GB"/>
        </w:rPr>
        <w:t xml:space="preserve">bulky waste collection </w:t>
      </w:r>
      <w:r w:rsidRPr="00903387">
        <w:rPr>
          <w:rFonts w:ascii="Arial" w:hAnsi="Arial" w:cs="Arial"/>
          <w:bCs/>
          <w:i/>
          <w:iCs/>
          <w:sz w:val="20"/>
          <w:szCs w:val="20"/>
          <w:lang w:val="en-GB"/>
        </w:rPr>
        <w:t>shall mean</w:t>
      </w:r>
      <w:r w:rsidRPr="00903387">
        <w:rPr>
          <w:rFonts w:ascii="Arial" w:hAnsi="Arial" w:cs="Arial"/>
          <w:b/>
          <w:bCs/>
          <w:i/>
          <w:iCs/>
          <w:sz w:val="20"/>
          <w:szCs w:val="20"/>
          <w:lang w:val="en-GB"/>
        </w:rPr>
        <w:t xml:space="preserve"> </w:t>
      </w:r>
      <w:r w:rsidRPr="00903387">
        <w:rPr>
          <w:rFonts w:ascii="Arial" w:hAnsi="Arial" w:cs="Arial"/>
          <w:bCs/>
          <w:i/>
          <w:iCs/>
          <w:sz w:val="20"/>
          <w:szCs w:val="20"/>
          <w:lang w:val="en-GB"/>
        </w:rPr>
        <w:t>the</w:t>
      </w:r>
      <w:r w:rsidRPr="00903387">
        <w:rPr>
          <w:rFonts w:ascii="Arial" w:hAnsi="Arial" w:cs="Arial"/>
          <w:i/>
          <w:iCs/>
          <w:sz w:val="20"/>
          <w:szCs w:val="20"/>
          <w:lang w:val="en-GB"/>
        </w:rPr>
        <w:t xml:space="preserve"> collection of waste, which d</w:t>
      </w:r>
      <w:r>
        <w:rPr>
          <w:rFonts w:ascii="Arial" w:hAnsi="Arial" w:cs="Arial"/>
          <w:i/>
          <w:iCs/>
          <w:sz w:val="20"/>
          <w:szCs w:val="20"/>
          <w:lang w:val="en-GB"/>
        </w:rPr>
        <w:t>ue to its dimensions cannot fit </w:t>
      </w:r>
      <w:r w:rsidRPr="00903387">
        <w:rPr>
          <w:rFonts w:ascii="Arial" w:hAnsi="Arial" w:cs="Arial"/>
          <w:i/>
          <w:iCs/>
          <w:sz w:val="20"/>
          <w:szCs w:val="20"/>
          <w:lang w:val="en-GB"/>
        </w:rPr>
        <w:t>dustbins, containers, or bags.</w:t>
      </w:r>
      <w:bookmarkEnd w:id="0"/>
    </w:p>
    <w:p w:rsidR="009E4CEE" w:rsidRDefault="009E4CEE" w:rsidP="009E4CEE">
      <w:pPr>
        <w:ind w:left="0" w:firstLine="0"/>
        <w:jc w:val="both"/>
        <w:rPr>
          <w:rFonts w:ascii="Arial" w:hAnsi="Arial" w:cs="Arial"/>
          <w:i/>
          <w:sz w:val="20"/>
          <w:szCs w:val="20"/>
          <w:lang w:val="en-GB"/>
        </w:rPr>
      </w:pPr>
      <w:r w:rsidRPr="000237B7">
        <w:rPr>
          <w:rFonts w:ascii="Arial" w:hAnsi="Arial" w:cs="Arial"/>
          <w:b/>
          <w:i/>
          <w:sz w:val="20"/>
          <w:szCs w:val="20"/>
          <w:lang w:val="en-GB"/>
        </w:rPr>
        <w:t>Secondary raw materials</w:t>
      </w:r>
      <w:r w:rsidRPr="000237B7">
        <w:rPr>
          <w:rFonts w:ascii="Arial" w:hAnsi="Arial" w:cs="Arial"/>
          <w:i/>
          <w:sz w:val="20"/>
          <w:szCs w:val="20"/>
          <w:lang w:val="en-GB"/>
        </w:rPr>
        <w:t xml:space="preserve"> shall mean materials (including certified products) that are of the nature of side products, by-products, and treated waste, which ceased to be waste in the moment when they became compliant with conditions and criteria for materials obtained from products, th</w:t>
      </w:r>
      <w:r>
        <w:rPr>
          <w:rFonts w:ascii="Arial" w:hAnsi="Arial" w:cs="Arial"/>
          <w:i/>
          <w:sz w:val="20"/>
          <w:szCs w:val="20"/>
          <w:lang w:val="en-GB"/>
        </w:rPr>
        <w:t>at are subject of a retake, and </w:t>
      </w:r>
      <w:r w:rsidRPr="000237B7">
        <w:rPr>
          <w:rFonts w:ascii="Arial" w:hAnsi="Arial" w:cs="Arial"/>
          <w:i/>
          <w:sz w:val="20"/>
          <w:szCs w:val="20"/>
          <w:lang w:val="en-GB"/>
        </w:rPr>
        <w:t>from other products, that can be used for further processing, if established.</w:t>
      </w:r>
    </w:p>
    <w:p w:rsidR="003807A9" w:rsidRPr="009E4CEE" w:rsidRDefault="009E4CEE" w:rsidP="009E4CEE">
      <w:pPr>
        <w:ind w:left="0" w:firstLine="0"/>
        <w:jc w:val="both"/>
        <w:rPr>
          <w:rFonts w:ascii="Arial" w:hAnsi="Arial" w:cs="Arial"/>
          <w:i/>
          <w:sz w:val="20"/>
          <w:szCs w:val="20"/>
          <w:lang w:val="cs-CZ"/>
        </w:rPr>
      </w:pPr>
      <w:r w:rsidRPr="003A6E37">
        <w:rPr>
          <w:rFonts w:ascii="Arial" w:hAnsi="Arial" w:cs="Arial"/>
          <w:b/>
          <w:i/>
          <w:sz w:val="20"/>
          <w:szCs w:val="20"/>
          <w:lang w:val="en-GB"/>
        </w:rPr>
        <w:t>EWC-STAT</w:t>
      </w:r>
      <w:r>
        <w:rPr>
          <w:rFonts w:ascii="Arial" w:hAnsi="Arial" w:cs="Arial"/>
          <w:i/>
          <w:sz w:val="20"/>
          <w:szCs w:val="20"/>
          <w:lang w:val="en-GB"/>
        </w:rPr>
        <w:t xml:space="preserve"> is a substance oriented waste statistical nomenclature. </w:t>
      </w:r>
      <w:r w:rsidRPr="000237B7">
        <w:rPr>
          <w:rFonts w:ascii="Arial" w:hAnsi="Arial" w:cs="Arial"/>
          <w:i/>
          <w:sz w:val="20"/>
          <w:szCs w:val="20"/>
          <w:lang w:val="en-GB"/>
        </w:rPr>
        <w:t xml:space="preserve"> </w:t>
      </w:r>
      <w:bookmarkStart w:id="1" w:name="_GoBack"/>
      <w:bookmarkEnd w:id="1"/>
    </w:p>
    <w:sectPr w:rsidR="003807A9" w:rsidRPr="009E4CEE" w:rsidSect="00CC3481">
      <w:headerReference w:type="default" r:id="rId6"/>
      <w:foot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7A9" w:rsidRDefault="003807A9" w:rsidP="00CC3481">
      <w:pPr>
        <w:spacing w:line="240" w:lineRule="auto"/>
      </w:pPr>
      <w:r>
        <w:separator/>
      </w:r>
    </w:p>
  </w:endnote>
  <w:endnote w:type="continuationSeparator" w:id="0">
    <w:p w:rsidR="003807A9" w:rsidRDefault="003807A9" w:rsidP="00CC34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7A9" w:rsidRPr="00F6336F" w:rsidRDefault="003807A9" w:rsidP="00CC3481">
    <w:pPr>
      <w:pStyle w:val="Zpat"/>
      <w:ind w:right="360" w:firstLine="360"/>
      <w:jc w:val="center"/>
      <w:rPr>
        <w:rFonts w:ascii="Arial" w:hAnsi="Arial" w:cs="Arial"/>
        <w:sz w:val="18"/>
        <w:szCs w:val="18"/>
        <w:lang w:val="cs-CZ"/>
      </w:rPr>
    </w:pPr>
    <w:r w:rsidRPr="00F6336F">
      <w:rPr>
        <w:rFonts w:ascii="Arial" w:hAnsi="Arial" w:cs="Arial"/>
        <w:noProof/>
        <w:sz w:val="18"/>
        <w:szCs w:val="18"/>
        <w:lang w:val="cs-CZ"/>
      </w:rPr>
      <w:drawing>
        <wp:anchor distT="0" distB="0" distL="114300" distR="114300" simplePos="0" relativeHeight="251660288" behindDoc="0" locked="0" layoutInCell="1" allowOverlap="1">
          <wp:simplePos x="0" y="0"/>
          <wp:positionH relativeFrom="column">
            <wp:posOffset>5652135</wp:posOffset>
          </wp:positionH>
          <wp:positionV relativeFrom="paragraph">
            <wp:posOffset>3175</wp:posOffset>
          </wp:positionV>
          <wp:extent cx="428625" cy="201295"/>
          <wp:effectExtent l="19050" t="0" r="9525" b="0"/>
          <wp:wrapNone/>
          <wp:docPr id="1" name="obrázek 1" descr="CSU RGB CZ 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 RGB CZ logo-01"/>
                  <pic:cNvPicPr>
                    <a:picLocks noChangeAspect="1" noChangeArrowheads="1"/>
                  </pic:cNvPicPr>
                </pic:nvPicPr>
                <pic:blipFill>
                  <a:blip r:embed="rId1"/>
                  <a:srcRect/>
                  <a:stretch>
                    <a:fillRect/>
                  </a:stretch>
                </pic:blipFill>
                <pic:spPr bwMode="auto">
                  <a:xfrm>
                    <a:off x="0" y="0"/>
                    <a:ext cx="428625" cy="201295"/>
                  </a:xfrm>
                  <a:prstGeom prst="rect">
                    <a:avLst/>
                  </a:prstGeom>
                  <a:noFill/>
                  <a:ln w="9525">
                    <a:noFill/>
                    <a:miter lim="800000"/>
                    <a:headEnd/>
                    <a:tailEnd/>
                  </a:ln>
                </pic:spPr>
              </pic:pic>
            </a:graphicData>
          </a:graphic>
        </wp:anchor>
      </w:drawing>
    </w:r>
    <w:r w:rsidR="000D7105">
      <w:rPr>
        <w:rFonts w:ascii="Arial" w:hAnsi="Arial" w:cs="Arial"/>
        <w:sz w:val="18"/>
        <w:szCs w:val="18"/>
        <w:lang w:val="cs-CZ"/>
      </w:rPr>
      <w:t>2018</w:t>
    </w:r>
  </w:p>
  <w:p w:rsidR="003807A9" w:rsidRDefault="003807A9">
    <w:pPr>
      <w:pStyle w:val="Zpa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7A9" w:rsidRDefault="003807A9" w:rsidP="00CC3481">
      <w:pPr>
        <w:spacing w:line="240" w:lineRule="auto"/>
      </w:pPr>
      <w:r>
        <w:separator/>
      </w:r>
    </w:p>
  </w:footnote>
  <w:footnote w:type="continuationSeparator" w:id="0">
    <w:p w:rsidR="003807A9" w:rsidRDefault="003807A9" w:rsidP="00CC34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6F" w:rsidRPr="00B77E78" w:rsidRDefault="00F6336F" w:rsidP="00F6336F">
    <w:pPr>
      <w:pStyle w:val="Zhlav"/>
      <w:tabs>
        <w:tab w:val="clear" w:pos="4536"/>
        <w:tab w:val="clear" w:pos="9072"/>
      </w:tabs>
      <w:spacing w:line="288" w:lineRule="auto"/>
      <w:ind w:left="0" w:firstLine="0"/>
      <w:rPr>
        <w:rFonts w:ascii="Arial" w:eastAsia="Calibri" w:hAnsi="Arial"/>
        <w:sz w:val="16"/>
        <w:szCs w:val="22"/>
        <w:lang w:val="cs-CZ" w:eastAsia="en-US"/>
      </w:rPr>
    </w:pPr>
    <w:r w:rsidRPr="00B77E78">
      <w:rPr>
        <w:rFonts w:ascii="Arial" w:eastAsia="Calibri" w:hAnsi="Arial"/>
        <w:sz w:val="16"/>
        <w:szCs w:val="22"/>
        <w:lang w:val="cs-CZ" w:eastAsia="en-US"/>
      </w:rPr>
      <w:t>Produkce, využití a odstranění odpadů</w:t>
    </w:r>
  </w:p>
  <w:p w:rsidR="00F6336F" w:rsidRPr="00F6336F" w:rsidRDefault="00F6336F" w:rsidP="00F6336F">
    <w:pPr>
      <w:pStyle w:val="Zhlav"/>
      <w:tabs>
        <w:tab w:val="clear" w:pos="4536"/>
        <w:tab w:val="clear" w:pos="9072"/>
      </w:tabs>
      <w:spacing w:line="288" w:lineRule="auto"/>
      <w:ind w:left="0" w:firstLine="0"/>
      <w:rPr>
        <w:rFonts w:ascii="Arial" w:eastAsia="Calibri" w:hAnsi="Arial"/>
        <w:i/>
        <w:sz w:val="16"/>
        <w:szCs w:val="22"/>
        <w:lang w:val="cs-CZ" w:eastAsia="en-US"/>
      </w:rPr>
    </w:pPr>
    <w:proofErr w:type="spellStart"/>
    <w:r w:rsidRPr="003A0F18">
      <w:rPr>
        <w:rFonts w:ascii="Arial" w:eastAsia="Calibri" w:hAnsi="Arial"/>
        <w:i/>
        <w:sz w:val="16"/>
        <w:szCs w:val="22"/>
        <w:lang w:val="cs-CZ" w:eastAsia="en-US"/>
      </w:rPr>
      <w:t>Generation</w:t>
    </w:r>
    <w:proofErr w:type="spellEnd"/>
    <w:r w:rsidRPr="003A0F18">
      <w:rPr>
        <w:rFonts w:ascii="Arial" w:eastAsia="Calibri" w:hAnsi="Arial"/>
        <w:i/>
        <w:sz w:val="16"/>
        <w:szCs w:val="22"/>
        <w:lang w:val="cs-CZ" w:eastAsia="en-US"/>
      </w:rPr>
      <w:t xml:space="preserve">, </w:t>
    </w:r>
    <w:proofErr w:type="spellStart"/>
    <w:r w:rsidRPr="003A0F18">
      <w:rPr>
        <w:rFonts w:ascii="Arial" w:eastAsia="Calibri" w:hAnsi="Arial"/>
        <w:i/>
        <w:sz w:val="16"/>
        <w:szCs w:val="22"/>
        <w:lang w:val="cs-CZ" w:eastAsia="en-US"/>
      </w:rPr>
      <w:t>Recove</w:t>
    </w:r>
    <w:r>
      <w:rPr>
        <w:rFonts w:ascii="Arial" w:eastAsia="Calibri" w:hAnsi="Arial"/>
        <w:i/>
        <w:sz w:val="16"/>
        <w:szCs w:val="22"/>
        <w:lang w:val="cs-CZ" w:eastAsia="en-US"/>
      </w:rPr>
      <w:t>ry</w:t>
    </w:r>
    <w:proofErr w:type="spellEnd"/>
    <w:r>
      <w:rPr>
        <w:rFonts w:ascii="Arial" w:eastAsia="Calibri" w:hAnsi="Arial"/>
        <w:i/>
        <w:sz w:val="16"/>
        <w:szCs w:val="22"/>
        <w:lang w:val="cs-CZ" w:eastAsia="en-US"/>
      </w:rPr>
      <w:t xml:space="preserve"> and </w:t>
    </w:r>
    <w:proofErr w:type="spellStart"/>
    <w:r>
      <w:rPr>
        <w:rFonts w:ascii="Arial" w:eastAsia="Calibri" w:hAnsi="Arial"/>
        <w:i/>
        <w:sz w:val="16"/>
        <w:szCs w:val="22"/>
        <w:lang w:val="cs-CZ" w:eastAsia="en-US"/>
      </w:rPr>
      <w:t>Disposal</w:t>
    </w:r>
    <w:proofErr w:type="spellEnd"/>
    <w:r>
      <w:rPr>
        <w:rFonts w:ascii="Arial" w:eastAsia="Calibri" w:hAnsi="Arial"/>
        <w:i/>
        <w:sz w:val="16"/>
        <w:szCs w:val="22"/>
        <w:lang w:val="cs-CZ" w:eastAsia="en-US"/>
      </w:rPr>
      <w:t xml:space="preserve"> </w:t>
    </w:r>
    <w:proofErr w:type="spellStart"/>
    <w:r>
      <w:rPr>
        <w:rFonts w:ascii="Arial" w:eastAsia="Calibri" w:hAnsi="Arial"/>
        <w:i/>
        <w:sz w:val="16"/>
        <w:szCs w:val="22"/>
        <w:lang w:val="cs-CZ" w:eastAsia="en-US"/>
      </w:rPr>
      <w:t>of</w:t>
    </w:r>
    <w:proofErr w:type="spellEnd"/>
    <w:r>
      <w:rPr>
        <w:rFonts w:ascii="Arial" w:eastAsia="Calibri" w:hAnsi="Arial"/>
        <w:i/>
        <w:sz w:val="16"/>
        <w:szCs w:val="22"/>
        <w:lang w:val="cs-CZ" w:eastAsia="en-US"/>
      </w:rPr>
      <w:t xml:space="preserve"> </w:t>
    </w:r>
    <w:proofErr w:type="spellStart"/>
    <w:r>
      <w:rPr>
        <w:rFonts w:ascii="Arial" w:eastAsia="Calibri" w:hAnsi="Arial"/>
        <w:i/>
        <w:sz w:val="16"/>
        <w:szCs w:val="22"/>
        <w:lang w:val="cs-CZ" w:eastAsia="en-US"/>
      </w:rPr>
      <w:t>Waste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2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DB1014"/>
    <w:rsid w:val="000D7105"/>
    <w:rsid w:val="000E4D96"/>
    <w:rsid w:val="00245479"/>
    <w:rsid w:val="003362C2"/>
    <w:rsid w:val="003807A9"/>
    <w:rsid w:val="003E2391"/>
    <w:rsid w:val="00710AE6"/>
    <w:rsid w:val="009E4CEE"/>
    <w:rsid w:val="00CC3481"/>
    <w:rsid w:val="00DB1014"/>
    <w:rsid w:val="00F6336F"/>
    <w:rsid w:val="00F722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139265F"/>
  <w15:docId w15:val="{349CAD58-9327-428B-B7EE-BEAB2C04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B1014"/>
    <w:pPr>
      <w:spacing w:after="0" w:line="0" w:lineRule="atLeast"/>
      <w:ind w:left="851" w:hanging="851"/>
    </w:pPr>
    <w:rPr>
      <w:rFonts w:ascii="Times New Roman" w:eastAsia="Times New Roman" w:hAnsi="Times New Roman" w:cs="Times New Roman"/>
      <w:sz w:val="24"/>
      <w:szCs w:val="24"/>
      <w:lang w:val="ru-RU"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semiHidden/>
    <w:rsid w:val="00DB1014"/>
    <w:pPr>
      <w:tabs>
        <w:tab w:val="left" w:pos="684"/>
      </w:tabs>
      <w:jc w:val="both"/>
    </w:pPr>
    <w:rPr>
      <w:lang w:val="cs-CZ"/>
    </w:rPr>
  </w:style>
  <w:style w:type="character" w:customStyle="1" w:styleId="ZkladntextChar">
    <w:name w:val="Základní text Char"/>
    <w:basedOn w:val="Standardnpsmoodstavce"/>
    <w:link w:val="Zkladntext"/>
    <w:semiHidden/>
    <w:rsid w:val="00DB1014"/>
    <w:rPr>
      <w:rFonts w:ascii="Times New Roman" w:eastAsia="Times New Roman" w:hAnsi="Times New Roman" w:cs="Times New Roman"/>
      <w:sz w:val="24"/>
      <w:szCs w:val="24"/>
      <w:lang w:eastAsia="cs-CZ"/>
    </w:rPr>
  </w:style>
  <w:style w:type="paragraph" w:styleId="Normlnweb">
    <w:name w:val="Normal (Web)"/>
    <w:basedOn w:val="Normln"/>
    <w:semiHidden/>
    <w:rsid w:val="00DB1014"/>
    <w:pPr>
      <w:spacing w:before="100" w:beforeAutospacing="1" w:after="100" w:afterAutospacing="1"/>
    </w:pPr>
    <w:rPr>
      <w:rFonts w:ascii="Arial Unicode MS" w:eastAsia="Arial Unicode MS" w:hAnsi="Arial Unicode MS" w:cs="Arial Unicode MS"/>
      <w:color w:val="0078B3"/>
      <w:lang w:val="cs-CZ"/>
    </w:rPr>
  </w:style>
  <w:style w:type="paragraph" w:styleId="Zkladntextodsazen3">
    <w:name w:val="Body Text Indent 3"/>
    <w:basedOn w:val="Normln"/>
    <w:link w:val="Zkladntextodsazen3Char"/>
    <w:semiHidden/>
    <w:rsid w:val="00DB1014"/>
    <w:pPr>
      <w:spacing w:after="240"/>
      <w:ind w:firstLine="567"/>
      <w:jc w:val="both"/>
    </w:pPr>
    <w:rPr>
      <w:rFonts w:ascii="Arial" w:hAnsi="Arial" w:cs="Arial"/>
      <w:sz w:val="20"/>
      <w:szCs w:val="17"/>
      <w:lang w:val="en-GB"/>
    </w:rPr>
  </w:style>
  <w:style w:type="character" w:customStyle="1" w:styleId="Zkladntextodsazen3Char">
    <w:name w:val="Základní text odsazený 3 Char"/>
    <w:basedOn w:val="Standardnpsmoodstavce"/>
    <w:link w:val="Zkladntextodsazen3"/>
    <w:semiHidden/>
    <w:rsid w:val="00DB1014"/>
    <w:rPr>
      <w:rFonts w:ascii="Arial" w:eastAsia="Times New Roman" w:hAnsi="Arial" w:cs="Arial"/>
      <w:sz w:val="20"/>
      <w:szCs w:val="17"/>
      <w:lang w:val="en-GB" w:eastAsia="cs-CZ"/>
    </w:rPr>
  </w:style>
  <w:style w:type="paragraph" w:styleId="Zhlav">
    <w:name w:val="header"/>
    <w:basedOn w:val="Normln"/>
    <w:link w:val="ZhlavChar"/>
    <w:uiPriority w:val="99"/>
    <w:unhideWhenUsed/>
    <w:qFormat/>
    <w:rsid w:val="00CC3481"/>
    <w:pPr>
      <w:tabs>
        <w:tab w:val="center" w:pos="4536"/>
        <w:tab w:val="right" w:pos="9072"/>
      </w:tabs>
      <w:spacing w:line="240" w:lineRule="auto"/>
    </w:pPr>
  </w:style>
  <w:style w:type="character" w:customStyle="1" w:styleId="ZhlavChar">
    <w:name w:val="Záhlaví Char"/>
    <w:basedOn w:val="Standardnpsmoodstavce"/>
    <w:link w:val="Zhlav"/>
    <w:semiHidden/>
    <w:rsid w:val="00CC3481"/>
    <w:rPr>
      <w:rFonts w:ascii="Times New Roman" w:eastAsia="Times New Roman" w:hAnsi="Times New Roman" w:cs="Times New Roman"/>
      <w:sz w:val="24"/>
      <w:szCs w:val="24"/>
      <w:lang w:val="ru-RU" w:eastAsia="cs-CZ"/>
    </w:rPr>
  </w:style>
  <w:style w:type="paragraph" w:styleId="Zpat">
    <w:name w:val="footer"/>
    <w:basedOn w:val="Normln"/>
    <w:link w:val="ZpatChar"/>
    <w:uiPriority w:val="99"/>
    <w:unhideWhenUsed/>
    <w:rsid w:val="00CC3481"/>
    <w:pPr>
      <w:tabs>
        <w:tab w:val="center" w:pos="4536"/>
        <w:tab w:val="right" w:pos="9072"/>
      </w:tabs>
      <w:spacing w:line="240" w:lineRule="auto"/>
    </w:pPr>
  </w:style>
  <w:style w:type="character" w:customStyle="1" w:styleId="ZpatChar">
    <w:name w:val="Zápatí Char"/>
    <w:basedOn w:val="Standardnpsmoodstavce"/>
    <w:link w:val="Zpat"/>
    <w:uiPriority w:val="99"/>
    <w:rsid w:val="00CC3481"/>
    <w:rPr>
      <w:rFonts w:ascii="Times New Roman" w:eastAsia="Times New Roman" w:hAnsi="Times New Roman" w:cs="Times New Roman"/>
      <w:sz w:val="24"/>
      <w:szCs w:val="24"/>
      <w:lang w:val="ru-RU"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770</Words>
  <Characters>4546</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CSU</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operator</dc:creator>
  <cp:lastModifiedBy>vackova8892</cp:lastModifiedBy>
  <cp:revision>7</cp:revision>
  <dcterms:created xsi:type="dcterms:W3CDTF">2016-10-14T12:34:00Z</dcterms:created>
  <dcterms:modified xsi:type="dcterms:W3CDTF">2019-10-30T11:18:00Z</dcterms:modified>
</cp:coreProperties>
</file>