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5A" w:rsidRDefault="00257EC2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9.55pt">
            <v:imagedata r:id="rId6" o:title="W002_explosieve_stoffen"/>
          </v:shape>
        </w:pict>
      </w:r>
      <w:r w:rsidR="0036575A">
        <w:rPr>
          <w:rFonts w:ascii="Arial" w:hAnsi="Arial" w:cs="Arial"/>
          <w:bCs/>
          <w:sz w:val="20"/>
          <w:szCs w:val="20"/>
        </w:rPr>
        <w:t xml:space="preserve"> </w:t>
      </w:r>
      <w:r w:rsidR="0036575A" w:rsidRPr="0036575A">
        <w:rPr>
          <w:rFonts w:ascii="Arial" w:hAnsi="Arial" w:cs="Arial"/>
          <w:bCs/>
          <w:sz w:val="20"/>
          <w:szCs w:val="20"/>
        </w:rPr>
        <w:t>W002_explosieve_stoffen</w:t>
      </w:r>
    </w:p>
    <w:p w:rsidR="0036575A" w:rsidRDefault="0036575A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720000" cy="630000"/>
            <wp:effectExtent l="0" t="0" r="4445" b="0"/>
            <wp:docPr id="2" name="Afbeelding 2" descr="C:\Users\Hassfeld\AppData\Local\Microsoft\Windows\INetCache\Content.Word\W029_houder_onder_d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assfeld\AppData\Local\Microsoft\Windows\INetCache\Content.Word\W029_houder_onder_dru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6575A">
        <w:rPr>
          <w:rFonts w:ascii="Arial" w:hAnsi="Arial" w:cs="Arial"/>
          <w:bCs/>
          <w:sz w:val="20"/>
          <w:szCs w:val="20"/>
        </w:rPr>
        <w:t>W029_houder_onder_druk</w:t>
      </w:r>
    </w:p>
    <w:p w:rsidR="0036575A" w:rsidRDefault="0036575A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720000" cy="630000"/>
            <wp:effectExtent l="0" t="0" r="4445" b="0"/>
            <wp:docPr id="3" name="Afbeelding 3" descr="C:\Users\Hassfeld\AppData\Local\Microsoft\Windows\INetCache\Content.Word\W021_brandgevaarli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assfeld\AppData\Local\Microsoft\Windows\INetCache\Content.Word\W021_brandgevaarlij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6575A">
        <w:rPr>
          <w:rFonts w:ascii="Arial" w:hAnsi="Arial" w:cs="Arial"/>
          <w:bCs/>
          <w:sz w:val="20"/>
          <w:szCs w:val="20"/>
        </w:rPr>
        <w:t>W021_brandgevaarlijk</w:t>
      </w:r>
    </w:p>
    <w:p w:rsidR="0036575A" w:rsidRDefault="0036575A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720000" cy="630000"/>
            <wp:effectExtent l="0" t="0" r="4445" b="0"/>
            <wp:docPr id="6" name="Afbeelding 6" descr="C:\Users\Hassfeld\AppData\Local\Microsoft\Windows\INetCache\Content.Word\W028_oxiderende_stoff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assfeld\AppData\Local\Microsoft\Windows\INetCache\Content.Word\W028_oxiderende_stoff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6575A">
        <w:rPr>
          <w:rFonts w:ascii="Arial" w:hAnsi="Arial" w:cs="Arial"/>
          <w:bCs/>
          <w:sz w:val="20"/>
          <w:szCs w:val="20"/>
        </w:rPr>
        <w:t>W028_oxiderende_stoffen</w:t>
      </w:r>
    </w:p>
    <w:p w:rsidR="0036575A" w:rsidRDefault="0036575A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720000" cy="630000"/>
            <wp:effectExtent l="0" t="0" r="4445" b="0"/>
            <wp:docPr id="4" name="Afbeelding 4" descr="C:\Users\Hassfeld\AppData\Local\Microsoft\Windows\INetCache\Content.Word\W016_giftige_stoff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assfeld\AppData\Local\Microsoft\Windows\INetCache\Content.Word\W016_giftige_stoff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6575A">
        <w:rPr>
          <w:rFonts w:ascii="Arial" w:hAnsi="Arial" w:cs="Arial"/>
          <w:bCs/>
          <w:sz w:val="20"/>
          <w:szCs w:val="20"/>
        </w:rPr>
        <w:t>W016_giftige_stoffen</w:t>
      </w:r>
    </w:p>
    <w:p w:rsidR="0036575A" w:rsidRDefault="0036575A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720000" cy="630000"/>
            <wp:effectExtent l="0" t="0" r="4445" b="0"/>
            <wp:docPr id="5" name="Afbeelding 5" descr="C:\Users\Hassfeld\AppData\Local\Microsoft\Windows\INetCache\Content.Word\W009_biologische_agentia_infectue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assfeld\AppData\Local\Microsoft\Windows\INetCache\Content.Word\W009_biologische_agentia_infectueu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6575A">
        <w:rPr>
          <w:rFonts w:ascii="Arial" w:hAnsi="Arial" w:cs="Arial"/>
          <w:bCs/>
          <w:sz w:val="20"/>
          <w:szCs w:val="20"/>
        </w:rPr>
        <w:t>W009_biologische_agentia_infectueus</w:t>
      </w:r>
    </w:p>
    <w:p w:rsidR="0036575A" w:rsidRDefault="00257EC2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26" type="#_x0000_t75" style="width:57pt;height:49.55pt">
            <v:imagedata r:id="rId12" o:title="W003_radioactief_materiaal"/>
          </v:shape>
        </w:pict>
      </w:r>
      <w:r w:rsidR="0036575A">
        <w:rPr>
          <w:rFonts w:ascii="Arial" w:hAnsi="Arial" w:cs="Arial"/>
          <w:bCs/>
          <w:sz w:val="20"/>
          <w:szCs w:val="20"/>
        </w:rPr>
        <w:t xml:space="preserve"> </w:t>
      </w:r>
      <w:r w:rsidR="0036575A" w:rsidRPr="0036575A">
        <w:rPr>
          <w:rFonts w:ascii="Arial" w:hAnsi="Arial" w:cs="Arial"/>
          <w:bCs/>
          <w:sz w:val="20"/>
          <w:szCs w:val="20"/>
        </w:rPr>
        <w:t>W003_radioactief_materiaal</w:t>
      </w:r>
    </w:p>
    <w:p w:rsidR="0036575A" w:rsidRDefault="00257EC2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27" type="#_x0000_t75" style="width:57pt;height:49.55pt">
            <v:imagedata r:id="rId13" o:title="W023_bijtende_stoffen"/>
          </v:shape>
        </w:pict>
      </w:r>
      <w:r w:rsidR="0036575A">
        <w:rPr>
          <w:rFonts w:ascii="Arial" w:hAnsi="Arial" w:cs="Arial"/>
          <w:bCs/>
          <w:sz w:val="20"/>
          <w:szCs w:val="20"/>
        </w:rPr>
        <w:t xml:space="preserve"> </w:t>
      </w:r>
      <w:r w:rsidR="0036575A" w:rsidRPr="0036575A">
        <w:rPr>
          <w:rFonts w:ascii="Arial" w:hAnsi="Arial" w:cs="Arial"/>
          <w:bCs/>
          <w:sz w:val="20"/>
          <w:szCs w:val="20"/>
        </w:rPr>
        <w:t>W023_bijtende_stoffen</w:t>
      </w:r>
    </w:p>
    <w:p w:rsidR="00E4250D" w:rsidRDefault="00257EC2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28" type="#_x0000_t75" style="width:57pt;height:57pt">
            <v:imagedata r:id="rId14" o:title="W-NL-003_NFPA-gevarendiamant"/>
          </v:shape>
        </w:pict>
      </w:r>
      <w:r w:rsidR="0036575A">
        <w:rPr>
          <w:rFonts w:ascii="Arial" w:hAnsi="Arial" w:cs="Arial"/>
          <w:bCs/>
          <w:sz w:val="20"/>
          <w:szCs w:val="20"/>
        </w:rPr>
        <w:t xml:space="preserve"> </w:t>
      </w:r>
      <w:r w:rsidR="0036575A" w:rsidRPr="0036575A">
        <w:rPr>
          <w:rFonts w:ascii="Arial" w:hAnsi="Arial" w:cs="Arial"/>
          <w:bCs/>
          <w:sz w:val="20"/>
          <w:szCs w:val="20"/>
        </w:rPr>
        <w:t>W-NL-003_NFPA-gevarendiamant</w:t>
      </w:r>
    </w:p>
    <w:p w:rsidR="00473930" w:rsidRDefault="00473930" w:rsidP="007C10BE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23900" cy="629285"/>
            <wp:effectExtent l="0" t="0" r="0" b="0"/>
            <wp:docPr id="1" name="Afbeelding 1" descr="W-NL-005_langetermijngezondheidssch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-NL-005_langetermijngezondheidsschad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6119F9">
        <w:rPr>
          <w:rFonts w:ascii="Arial" w:hAnsi="Arial" w:cs="Arial"/>
          <w:color w:val="222222"/>
          <w:sz w:val="20"/>
          <w:szCs w:val="20"/>
          <w:shd w:val="clear" w:color="auto" w:fill="F8F9FA"/>
        </w:rPr>
        <w:t>W-NL-005_langetermijngezondheidsschade</w:t>
      </w:r>
    </w:p>
    <w:p w:rsidR="00473930" w:rsidRDefault="00473930" w:rsidP="00473930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23900" cy="629285"/>
            <wp:effectExtent l="0" t="0" r="0" b="0"/>
            <wp:docPr id="7" name="Afbeelding 7" descr="W-NL-006_schadelijk_voor_het_mil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-NL-006_schadelijk_voor_het_milie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6119F9">
        <w:rPr>
          <w:rFonts w:ascii="Arial" w:hAnsi="Arial" w:cs="Arial"/>
          <w:color w:val="222222"/>
          <w:sz w:val="20"/>
          <w:szCs w:val="20"/>
          <w:shd w:val="clear" w:color="auto" w:fill="F8F9FA"/>
        </w:rPr>
        <w:t>W-NL-006_schadelijk_voor_het_milieu</w:t>
      </w:r>
    </w:p>
    <w:p w:rsidR="00473930" w:rsidRDefault="00473930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p w:rsidR="00E84116" w:rsidRPr="00617759" w:rsidRDefault="00E84116" w:rsidP="00E84116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547"/>
        <w:gridCol w:w="283"/>
        <w:gridCol w:w="7655"/>
        <w:gridCol w:w="84"/>
      </w:tblGrid>
      <w:tr w:rsidR="0036575A" w:rsidRPr="00617759" w:rsidTr="006C255F">
        <w:trPr>
          <w:gridAfter w:val="1"/>
          <w:wAfter w:w="84" w:type="dxa"/>
          <w:trHeight w:val="31"/>
        </w:trPr>
        <w:tc>
          <w:tcPr>
            <w:tcW w:w="2547" w:type="dxa"/>
            <w:vMerge w:val="restart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Ontplofbare stoffen en voorwerpen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Gassen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E56C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Brandbare stoffen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Oxiderende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soffen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Organische Peroxiden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Giftige stoffen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Infectueuze stoffen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Radioactieve stoffen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Bijtende stoffen</w:t>
            </w:r>
          </w:p>
        </w:tc>
      </w:tr>
      <w:tr w:rsidR="006C255F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6C255F" w:rsidRPr="00617759" w:rsidRDefault="006C255F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6C255F" w:rsidRDefault="006C255F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NFPA Gevarendiamant</w:t>
            </w:r>
          </w:p>
        </w:tc>
      </w:tr>
      <w:tr w:rsidR="006C255F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6C255F" w:rsidRPr="00617759" w:rsidRDefault="006C255F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6C255F" w:rsidRDefault="006C255F" w:rsidP="006511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Langertermijnsgezondheidsschade</w:t>
            </w:r>
            <w:proofErr w:type="spellEnd"/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Default="006C255F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Schadelijk voor het milieu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7938" w:type="dxa"/>
            <w:gridSpan w:val="2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0FA" w:rsidRPr="00617759" w:rsidTr="006C255F">
        <w:trPr>
          <w:gridAfter w:val="1"/>
          <w:wAfter w:w="84" w:type="dxa"/>
          <w:trHeight w:val="31"/>
        </w:trPr>
        <w:tc>
          <w:tcPr>
            <w:tcW w:w="2547" w:type="dxa"/>
            <w:vMerge w:val="restart"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Gevarenklasse</w:t>
            </w: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73930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473930" w:rsidRPr="00617759" w:rsidRDefault="00473930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473930" w:rsidRPr="00617759" w:rsidRDefault="00473930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473930" w:rsidRDefault="00473930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830F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473930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 w:val="restart"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1.1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Gevaar voor massa-explosie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1.2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Gevaar voor scherfwerking, geen gevaar voor massa-explosie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1.3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Gevaar voor brand, maar weinig gevaar voor scherfwerking en drukwerking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1.4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Gering gevaar voor ontploffing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1.5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Zeer ongevoelige stoffen en voorwerpen, wel gevaar voor massa-explosie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1.6 </w:t>
            </w:r>
            <w:r w:rsidRPr="001909B2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Uiterst ongevoelige stoffen en voorwerpen, zeer gering ontploffingsgevaar.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2.1 Brandbare gassen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Verstikkende gassen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2.3 Giftige gassen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Oxiderende gassen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Corrosieve gassen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Gas dat geen bijkomend gevaar vertoont</w:t>
            </w:r>
          </w:p>
        </w:tc>
      </w:tr>
      <w:tr w:rsidR="00D830FA" w:rsidRPr="008C25D0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3.1 Brandbare vloeistoffen met een </w:t>
            </w:r>
            <w:r w:rsidRPr="008C25D0">
              <w:rPr>
                <w:rFonts w:ascii="Arial" w:hAnsi="Arial" w:cs="Arial"/>
                <w:sz w:val="20"/>
                <w:szCs w:val="20"/>
              </w:rPr>
              <w:t>kookpunt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tot 35 °C</w:t>
            </w:r>
          </w:p>
        </w:tc>
      </w:tr>
      <w:tr w:rsidR="00D830FA" w:rsidRPr="008C25D0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8C25D0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8C25D0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3.2 Brandbare vloeistoffen met een </w:t>
            </w:r>
            <w:r w:rsidRPr="008C25D0">
              <w:rPr>
                <w:rFonts w:ascii="Arial" w:hAnsi="Arial" w:cs="Arial"/>
                <w:sz w:val="20"/>
                <w:szCs w:val="20"/>
              </w:rPr>
              <w:t>vlampunt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lager dan 23 °C en een </w:t>
            </w:r>
            <w:r w:rsidRPr="008C25D0">
              <w:rPr>
                <w:rFonts w:ascii="Arial" w:hAnsi="Arial" w:cs="Arial"/>
                <w:sz w:val="20"/>
                <w:szCs w:val="20"/>
              </w:rPr>
              <w:t>kookpunt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boven 35 °C</w:t>
            </w:r>
          </w:p>
        </w:tc>
      </w:tr>
      <w:tr w:rsidR="00D830FA" w:rsidRPr="008C25D0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3.3 Vloeistoffen met een </w:t>
            </w:r>
            <w:r w:rsidRPr="008C25D0">
              <w:rPr>
                <w:rFonts w:ascii="Arial" w:hAnsi="Arial" w:cs="Arial"/>
                <w:sz w:val="20"/>
                <w:szCs w:val="20"/>
              </w:rPr>
              <w:t>vlampunt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tussen 23 °C en 60 °C en een </w:t>
            </w:r>
            <w:r w:rsidRPr="008C25D0">
              <w:rPr>
                <w:rFonts w:ascii="Arial" w:hAnsi="Arial" w:cs="Arial"/>
                <w:sz w:val="20"/>
                <w:szCs w:val="20"/>
              </w:rPr>
              <w:t>kookpunt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boven 35 °C alsmede </w:t>
            </w:r>
            <w:r w:rsidRPr="008C25D0">
              <w:rPr>
                <w:rFonts w:ascii="Arial" w:hAnsi="Arial" w:cs="Arial"/>
                <w:sz w:val="20"/>
                <w:szCs w:val="20"/>
              </w:rPr>
              <w:t>gasolie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Pr="008C25D0">
              <w:rPr>
                <w:rFonts w:ascii="Arial" w:hAnsi="Arial" w:cs="Arial"/>
                <w:sz w:val="20"/>
                <w:szCs w:val="20"/>
              </w:rPr>
              <w:t>dieselolie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en lichte </w:t>
            </w:r>
            <w:r w:rsidRPr="008C25D0">
              <w:rPr>
                <w:rFonts w:ascii="Arial" w:hAnsi="Arial" w:cs="Arial"/>
                <w:sz w:val="20"/>
                <w:szCs w:val="20"/>
              </w:rPr>
              <w:t>stookolie</w:t>
            </w: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vanwege overeenkomstige eigenschappen</w:t>
            </w:r>
          </w:p>
        </w:tc>
      </w:tr>
      <w:tr w:rsidR="00D830FA" w:rsidRPr="008C25D0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4.1 Brandbare vaste stoffen</w:t>
            </w:r>
          </w:p>
        </w:tc>
      </w:tr>
      <w:tr w:rsidR="00D830FA" w:rsidRPr="008C25D0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8C25D0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8C25D0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4.2 Voor zelfontbranding vatbare stoffen</w:t>
            </w:r>
          </w:p>
        </w:tc>
      </w:tr>
      <w:tr w:rsidR="00D830FA" w:rsidRPr="008C25D0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8C25D0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8C25D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4.3 Stoffen die in contact met water brandbare gassen ontwikkelen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5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.1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Oxiderende stoffen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 Organische peroxiden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6.1 Giftige stoffen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6.2 Infectueuze stoffen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7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.1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Alphastraling</w:t>
            </w:r>
            <w:proofErr w:type="spellEnd"/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Bėtastraling</w:t>
            </w:r>
            <w:proofErr w:type="spellEnd"/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7.3 Gammastraling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 Neutronenstraling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8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.1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Corrosieve stoffen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D830FA" w:rsidRPr="00617759" w:rsidRDefault="00D830F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8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.2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Zuren</w:t>
            </w:r>
          </w:p>
        </w:tc>
      </w:tr>
      <w:tr w:rsidR="006C255F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6C255F" w:rsidRPr="00617759" w:rsidRDefault="006C255F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6C255F" w:rsidRPr="00617759" w:rsidRDefault="006C255F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6C255F" w:rsidRDefault="006C255F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8.3 Basen</w:t>
            </w:r>
          </w:p>
        </w:tc>
      </w:tr>
      <w:tr w:rsidR="00D830F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D830FA" w:rsidRPr="00617759" w:rsidRDefault="00D830F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3" w:type="dxa"/>
          </w:tcPr>
          <w:p w:rsidR="00D830FA" w:rsidRPr="00617759" w:rsidRDefault="00D830FA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655" w:type="dxa"/>
          </w:tcPr>
          <w:p w:rsidR="00D830FA" w:rsidRPr="00617759" w:rsidRDefault="006C255F" w:rsidP="006511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9.1 Diversen gevaarlijke stoffen en voorwerpen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 Kg / L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5497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165497" w:rsidRPr="00617759" w:rsidRDefault="00165497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7938" w:type="dxa"/>
            <w:gridSpan w:val="2"/>
          </w:tcPr>
          <w:p w:rsidR="00165497" w:rsidRPr="00617759" w:rsidRDefault="00165497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</w:tcPr>
          <w:p w:rsidR="0036575A" w:rsidRPr="00617759" w:rsidRDefault="00165497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Opmerkingen</w:t>
            </w:r>
          </w:p>
        </w:tc>
        <w:tc>
          <w:tcPr>
            <w:tcW w:w="7938" w:type="dxa"/>
            <w:gridSpan w:val="2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 w:val="restart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 w:val="restart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 w:val="restart"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 w:val="restart"/>
          </w:tcPr>
          <w:p w:rsidR="0036575A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Pathogeen</w:t>
            </w:r>
          </w:p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(Alleen </w:t>
            </w:r>
            <w:r w:rsidR="00257EC2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>
              <w:rPr>
                <w:rFonts w:ascii="Arial" w:hAnsi="Arial" w:cs="Arial"/>
                <w:b/>
                <w:sz w:val="20"/>
                <w:szCs w:val="20"/>
              </w:rPr>
              <w:t>klasse 6.2)</w:t>
            </w: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6575A" w:rsidRPr="00617759" w:rsidTr="006C255F">
        <w:trPr>
          <w:gridAfter w:val="1"/>
          <w:wAfter w:w="84" w:type="dxa"/>
          <w:trHeight w:val="132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Prionen</w:t>
            </w:r>
            <w:proofErr w:type="spellEnd"/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Virussen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Micro-organismen - Bacteriën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Micro-organismen - Eencellige dieren</w:t>
            </w:r>
          </w:p>
        </w:tc>
      </w:tr>
      <w:tr w:rsidR="0036575A" w:rsidRPr="00617759" w:rsidTr="006C255F">
        <w:trPr>
          <w:gridAfter w:val="1"/>
          <w:wAfter w:w="84" w:type="dxa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Micro-organismen - Schimmels</w:t>
            </w:r>
          </w:p>
        </w:tc>
      </w:tr>
      <w:tr w:rsidR="0036575A" w:rsidRPr="00617759" w:rsidTr="006C255F">
        <w:trPr>
          <w:gridAfter w:val="1"/>
          <w:wAfter w:w="84" w:type="dxa"/>
          <w:trHeight w:val="191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Eéncellige eukaryoten</w:t>
            </w:r>
          </w:p>
        </w:tc>
      </w:tr>
      <w:tr w:rsidR="0036575A" w:rsidRPr="00617759" w:rsidTr="006C255F">
        <w:trPr>
          <w:gridAfter w:val="1"/>
          <w:wAfter w:w="84" w:type="dxa"/>
          <w:trHeight w:val="191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Meercellige parasieten</w:t>
            </w:r>
          </w:p>
        </w:tc>
      </w:tr>
      <w:tr w:rsidR="0036575A" w:rsidRPr="00617759" w:rsidTr="006C255F">
        <w:trPr>
          <w:gridAfter w:val="1"/>
          <w:wAfter w:w="84" w:type="dxa"/>
          <w:trHeight w:val="191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Geleedpotigen</w:t>
            </w:r>
          </w:p>
        </w:tc>
      </w:tr>
      <w:tr w:rsidR="0036575A" w:rsidRPr="00617759" w:rsidTr="006C255F">
        <w:trPr>
          <w:gridAfter w:val="1"/>
          <w:wAfter w:w="84" w:type="dxa"/>
          <w:trHeight w:val="191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Bioactieve stof</w:t>
            </w:r>
          </w:p>
        </w:tc>
      </w:tr>
      <w:tr w:rsidR="0036575A" w:rsidRPr="00617759" w:rsidTr="006C255F">
        <w:trPr>
          <w:gridAfter w:val="1"/>
          <w:wAfter w:w="84" w:type="dxa"/>
          <w:trHeight w:val="31"/>
        </w:trPr>
        <w:tc>
          <w:tcPr>
            <w:tcW w:w="2547" w:type="dxa"/>
            <w:vMerge w:val="restart"/>
          </w:tcPr>
          <w:p w:rsidR="0036575A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Verspreidings-mechanismen</w:t>
            </w:r>
          </w:p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(Alleen </w:t>
            </w:r>
            <w:r w:rsidR="00257EC2">
              <w:rPr>
                <w:rFonts w:ascii="Arial" w:hAnsi="Arial" w:cs="Arial"/>
                <w:b/>
                <w:sz w:val="20"/>
                <w:szCs w:val="20"/>
              </w:rPr>
              <w:t>sub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klasse 6.2)</w:t>
            </w: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Lucht (aerosol)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Fomieten</w:t>
            </w:r>
            <w:proofErr w:type="spellEnd"/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Vectoren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Oppervlakte / contact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Naalden / Menselijk bloed en bloedproducten / Lichaamsvloeistoffen en producten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Oraal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wond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Dier op mens</w:t>
            </w:r>
          </w:p>
        </w:tc>
      </w:tr>
      <w:tr w:rsidR="0036575A" w:rsidRPr="00617759" w:rsidTr="006C255F">
        <w:trPr>
          <w:gridAfter w:val="1"/>
          <w:wAfter w:w="84" w:type="dxa"/>
          <w:trHeight w:val="29"/>
        </w:trPr>
        <w:tc>
          <w:tcPr>
            <w:tcW w:w="2547" w:type="dxa"/>
            <w:vMerge/>
          </w:tcPr>
          <w:p w:rsidR="0036575A" w:rsidRPr="00617759" w:rsidRDefault="0036575A" w:rsidP="0065114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:rsidR="0036575A" w:rsidRPr="00617759" w:rsidRDefault="0036575A" w:rsidP="006511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 op mens</w:t>
            </w:r>
          </w:p>
        </w:tc>
      </w:tr>
      <w:tr w:rsidR="006C255F" w:rsidRPr="009E7B9E" w:rsidTr="006C255F">
        <w:tc>
          <w:tcPr>
            <w:tcW w:w="2547" w:type="dxa"/>
            <w:vMerge w:val="restart"/>
          </w:tcPr>
          <w:p w:rsidR="006C255F" w:rsidRPr="00D414E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14E9">
              <w:rPr>
                <w:rFonts w:ascii="Arial" w:hAnsi="Arial" w:cs="Arial"/>
                <w:b/>
                <w:sz w:val="20"/>
                <w:szCs w:val="20"/>
              </w:rPr>
              <w:t>Langetermijn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D414E9">
              <w:rPr>
                <w:rFonts w:ascii="Arial" w:hAnsi="Arial" w:cs="Arial"/>
                <w:b/>
                <w:sz w:val="20"/>
                <w:szCs w:val="20"/>
              </w:rPr>
              <w:t>gezondheidsschade</w:t>
            </w:r>
          </w:p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Gezondheidsgevaren</w:t>
            </w: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Sensibilisatie van de luchtwegen of van de huid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7B9E">
              <w:rPr>
                <w:rFonts w:ascii="Arial" w:hAnsi="Arial" w:cs="Arial"/>
                <w:sz w:val="20"/>
                <w:szCs w:val="20"/>
              </w:rPr>
              <w:t>Mutageniteit</w:t>
            </w:r>
            <w:proofErr w:type="spellEnd"/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 in geslachtscellen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Kankerverwekkend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Voortplantingstoxiciteit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Specifieke doelorgaantoxiciteit bij eenmalige blootstelling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Specifieke doelorgaantoxiciteit bij herhaalde blootstelling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sz w:val="20"/>
                <w:szCs w:val="20"/>
              </w:rPr>
              <w:t>Aspiratiegevaar</w:t>
            </w:r>
          </w:p>
        </w:tc>
      </w:tr>
      <w:tr w:rsidR="006C255F" w:rsidRPr="009E7B9E" w:rsidTr="006C255F">
        <w:tc>
          <w:tcPr>
            <w:tcW w:w="2547" w:type="dxa"/>
            <w:vMerge w:val="restart"/>
          </w:tcPr>
          <w:p w:rsidR="006C255F" w:rsidRPr="00D414E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14E9">
              <w:rPr>
                <w:rFonts w:ascii="Arial" w:hAnsi="Arial" w:cs="Arial"/>
                <w:b/>
                <w:sz w:val="20"/>
                <w:szCs w:val="20"/>
              </w:rPr>
              <w:t>Schadelijk voor het milieu</w:t>
            </w:r>
          </w:p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Gevaar voor aquatisch milieu</w:t>
            </w: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Zeer giftig voor waterorganismen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Zeer giftig voor waterorganismen, met langdurige gevolgen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Giftig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Schadelijk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 op lange termijn effect hebben op waterorganismen</w:t>
            </w:r>
          </w:p>
        </w:tc>
      </w:tr>
      <w:tr w:rsidR="006C255F" w:rsidRPr="009E7B9E" w:rsidTr="006C255F">
        <w:tc>
          <w:tcPr>
            <w:tcW w:w="2547" w:type="dxa"/>
            <w:vMerge w:val="restart"/>
          </w:tcPr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NFPA Gevarendiamant</w:t>
            </w:r>
          </w:p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Brandgevaar (rood)</w:t>
            </w:r>
          </w:p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7045DE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5497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Niet ontvlambaar</w:t>
            </w:r>
          </w:p>
        </w:tc>
      </w:tr>
      <w:tr w:rsidR="006C255F" w:rsidRPr="00577C9C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577C9C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- Ontvlambaar &gt; 93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- Ontvlambaar &lt; 93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- Licht ontvlambaar &lt; 73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 Zeer licht ontvlambaar &lt; 25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6C255F" w:rsidRPr="009E7B9E" w:rsidTr="006C255F">
        <w:tc>
          <w:tcPr>
            <w:tcW w:w="2547" w:type="dxa"/>
            <w:vMerge w:val="restart"/>
          </w:tcPr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NFPA Gevarendiamant</w:t>
            </w:r>
          </w:p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Reactiviteit (geel)</w:t>
            </w: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7045DE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5497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Stabiel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- Bij verhitting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- Heftige chemische reactie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- Explosief door ontstekingsbron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 Explosief</w:t>
            </w:r>
          </w:p>
        </w:tc>
      </w:tr>
      <w:tr w:rsidR="006C255F" w:rsidRPr="009E7B9E" w:rsidTr="006C255F">
        <w:tc>
          <w:tcPr>
            <w:tcW w:w="2547" w:type="dxa"/>
            <w:vMerge w:val="restart"/>
          </w:tcPr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NFPA Gevarendiamant</w:t>
            </w:r>
          </w:p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Bijzondere aanduiding (wit)</w:t>
            </w: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165497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Gevaar voor radioactieve straling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trike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 - Niet met water blussen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COR</w:t>
            </w:r>
            <w:r>
              <w:rPr>
                <w:rFonts w:ascii="Arial" w:hAnsi="Arial" w:cs="Arial"/>
                <w:sz w:val="20"/>
                <w:szCs w:val="20"/>
              </w:rPr>
              <w:t xml:space="preserve"> - Corrosief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ALK</w:t>
            </w:r>
            <w:r>
              <w:rPr>
                <w:rFonts w:ascii="Arial" w:hAnsi="Arial" w:cs="Arial"/>
                <w:sz w:val="20"/>
                <w:szCs w:val="20"/>
              </w:rPr>
              <w:t xml:space="preserve"> - Alkalisch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ACID</w:t>
            </w:r>
            <w:r>
              <w:rPr>
                <w:rFonts w:ascii="Arial" w:hAnsi="Arial" w:cs="Arial"/>
                <w:sz w:val="20"/>
                <w:szCs w:val="20"/>
              </w:rPr>
              <w:t xml:space="preserve"> - Zuur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OXY</w:t>
            </w:r>
            <w:r>
              <w:rPr>
                <w:rFonts w:ascii="Arial" w:hAnsi="Arial" w:cs="Arial"/>
                <w:sz w:val="20"/>
                <w:szCs w:val="20"/>
              </w:rPr>
              <w:t xml:space="preserve"> - Oxiderend</w:t>
            </w:r>
          </w:p>
        </w:tc>
      </w:tr>
      <w:tr w:rsidR="006C255F" w:rsidRPr="009E7B9E" w:rsidTr="006C255F">
        <w:tc>
          <w:tcPr>
            <w:tcW w:w="2547" w:type="dxa"/>
            <w:vMerge w:val="restart"/>
          </w:tcPr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NFPA Gevarendiamant</w:t>
            </w:r>
          </w:p>
          <w:p w:rsidR="006C255F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Gevaar voor de gezondheid (blauw)</w:t>
            </w: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165497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165497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Zonder bijzonder gevaar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- Weinig gevaarlijk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- Gevaarlijk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- Zeer gevaarlijk</w:t>
            </w:r>
          </w:p>
        </w:tc>
      </w:tr>
      <w:tr w:rsidR="006C255F" w:rsidRPr="009E7B9E" w:rsidTr="006C255F">
        <w:tc>
          <w:tcPr>
            <w:tcW w:w="2547" w:type="dxa"/>
            <w:vMerge/>
          </w:tcPr>
          <w:p w:rsidR="006C255F" w:rsidRPr="00617759" w:rsidRDefault="006C255F" w:rsidP="003A7A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6C255F" w:rsidRPr="00617759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9" w:type="dxa"/>
            <w:gridSpan w:val="2"/>
          </w:tcPr>
          <w:p w:rsidR="006C255F" w:rsidRPr="009E7B9E" w:rsidRDefault="006C255F" w:rsidP="003A7A5C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 Uiterst gevaarlijk</w:t>
            </w:r>
          </w:p>
        </w:tc>
      </w:tr>
    </w:tbl>
    <w:p w:rsidR="006C255F" w:rsidRDefault="006C255F" w:rsidP="006C255F">
      <w:pPr>
        <w:spacing w:after="0"/>
        <w:rPr>
          <w:rFonts w:ascii="Arial" w:hAnsi="Arial" w:cs="Arial"/>
          <w:sz w:val="20"/>
          <w:szCs w:val="20"/>
        </w:rPr>
      </w:pPr>
    </w:p>
    <w:p w:rsidR="006C255F" w:rsidRPr="0013525B" w:rsidRDefault="006C255F" w:rsidP="006C255F">
      <w:pPr>
        <w:rPr>
          <w:rFonts w:ascii="Arial" w:hAnsi="Arial" w:cs="Arial"/>
          <w:b/>
          <w:sz w:val="28"/>
          <w:szCs w:val="28"/>
        </w:rPr>
      </w:pPr>
      <w:r w:rsidRPr="0013525B">
        <w:rPr>
          <w:rFonts w:ascii="Arial" w:hAnsi="Arial" w:cs="Arial"/>
          <w:b/>
          <w:sz w:val="28"/>
          <w:szCs w:val="28"/>
        </w:rPr>
        <w:t>Meerdere opties mogelijk bij: Opslag vorm, Opslag materiaal, Verspreidings-mechanismen</w:t>
      </w:r>
    </w:p>
    <w:p w:rsidR="006C255F" w:rsidRDefault="006C255F" w:rsidP="006C255F">
      <w:pPr>
        <w:spacing w:after="0"/>
        <w:rPr>
          <w:rFonts w:ascii="Arial" w:hAnsi="Arial" w:cs="Arial"/>
          <w:b/>
          <w:sz w:val="28"/>
          <w:szCs w:val="28"/>
        </w:rPr>
      </w:pPr>
      <w:r w:rsidRPr="0013525B">
        <w:rPr>
          <w:rFonts w:ascii="Arial" w:hAnsi="Arial" w:cs="Arial"/>
          <w:b/>
          <w:sz w:val="28"/>
          <w:szCs w:val="28"/>
        </w:rPr>
        <w:t>1 optie mogelijk bij de rest</w:t>
      </w:r>
    </w:p>
    <w:p w:rsidR="006C255F" w:rsidRPr="0013525B" w:rsidRDefault="006C255F" w:rsidP="006C255F">
      <w:pPr>
        <w:spacing w:after="0"/>
        <w:rPr>
          <w:rFonts w:ascii="Arial" w:hAnsi="Arial" w:cs="Arial"/>
          <w:b/>
          <w:sz w:val="28"/>
          <w:szCs w:val="28"/>
        </w:rPr>
      </w:pPr>
    </w:p>
    <w:sectPr w:rsidR="006C255F" w:rsidRPr="0013525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159AB"/>
    <w:rsid w:val="0013525B"/>
    <w:rsid w:val="00152F81"/>
    <w:rsid w:val="00165497"/>
    <w:rsid w:val="001909B2"/>
    <w:rsid w:val="001F4E19"/>
    <w:rsid w:val="00257EC2"/>
    <w:rsid w:val="00305A27"/>
    <w:rsid w:val="0036575A"/>
    <w:rsid w:val="00400E33"/>
    <w:rsid w:val="00416E6B"/>
    <w:rsid w:val="0046050A"/>
    <w:rsid w:val="004624EC"/>
    <w:rsid w:val="00473930"/>
    <w:rsid w:val="005920C2"/>
    <w:rsid w:val="00594E5A"/>
    <w:rsid w:val="005C6732"/>
    <w:rsid w:val="006142A0"/>
    <w:rsid w:val="00616738"/>
    <w:rsid w:val="00617759"/>
    <w:rsid w:val="006B011A"/>
    <w:rsid w:val="006C255F"/>
    <w:rsid w:val="00713892"/>
    <w:rsid w:val="00753C63"/>
    <w:rsid w:val="007C10BE"/>
    <w:rsid w:val="00873327"/>
    <w:rsid w:val="008C1167"/>
    <w:rsid w:val="008F2304"/>
    <w:rsid w:val="00987587"/>
    <w:rsid w:val="00A95288"/>
    <w:rsid w:val="00AA324E"/>
    <w:rsid w:val="00AC76E6"/>
    <w:rsid w:val="00AF3EBE"/>
    <w:rsid w:val="00B6631F"/>
    <w:rsid w:val="00BA5AC0"/>
    <w:rsid w:val="00BC7EE2"/>
    <w:rsid w:val="00BD4963"/>
    <w:rsid w:val="00BF5B4A"/>
    <w:rsid w:val="00C2538C"/>
    <w:rsid w:val="00CA1484"/>
    <w:rsid w:val="00CF6394"/>
    <w:rsid w:val="00D1536D"/>
    <w:rsid w:val="00D830FA"/>
    <w:rsid w:val="00E4250D"/>
    <w:rsid w:val="00E53A58"/>
    <w:rsid w:val="00E55B73"/>
    <w:rsid w:val="00E56C71"/>
    <w:rsid w:val="00E84116"/>
    <w:rsid w:val="00E87785"/>
    <w:rsid w:val="00EB4324"/>
    <w:rsid w:val="00F0486D"/>
    <w:rsid w:val="00F252A5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9F3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A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5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61A61-D8C4-45D1-A62A-EEA5B9CF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39</cp:revision>
  <cp:lastPrinted>2020-04-07T10:06:00Z</cp:lastPrinted>
  <dcterms:created xsi:type="dcterms:W3CDTF">2020-03-20T08:54:00Z</dcterms:created>
  <dcterms:modified xsi:type="dcterms:W3CDTF">2020-12-16T11:13:00Z</dcterms:modified>
</cp:coreProperties>
</file>