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AF61E6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 w:rsidR="008C5621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8C5621">
              <w:rPr>
                <w:rFonts w:ascii="Arial" w:hAnsi="Arial" w:cs="Arial"/>
                <w:bCs/>
                <w:sz w:val="28"/>
                <w:szCs w:val="28"/>
              </w:rPr>
              <w:t>Glad oppervlak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8C56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</w:t>
            </w:r>
            <w:r w:rsidR="00AF61E6">
              <w:rPr>
                <w:rFonts w:ascii="Arial" w:hAnsi="Arial" w:cs="Arial"/>
                <w:sz w:val="20"/>
                <w:szCs w:val="20"/>
              </w:rPr>
              <w:t>1</w:t>
            </w:r>
            <w:r w:rsidR="008C5621">
              <w:rPr>
                <w:rFonts w:ascii="Arial" w:hAnsi="Arial" w:cs="Arial"/>
                <w:sz w:val="20"/>
                <w:szCs w:val="20"/>
              </w:rPr>
              <w:t>1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8C5621">
              <w:rPr>
                <w:rFonts w:ascii="Arial" w:hAnsi="Arial" w:cs="Arial"/>
                <w:sz w:val="20"/>
                <w:szCs w:val="20"/>
              </w:rPr>
              <w:t>glad_oppervlak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C5621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7" name="Afbeelding 7" descr="C:\Users\Hassfeld\AppData\Local\Microsoft\Windows\INetCache\Content.Word\W011_glad_oppervl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ssfeld\AppData\Local\Microsoft\Windows\INetCache\Content.Word\W011_glad_oppervla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8C5621">
        <w:rPr>
          <w:rFonts w:ascii="Arial" w:hAnsi="Arial" w:cs="Arial"/>
          <w:sz w:val="20"/>
          <w:szCs w:val="20"/>
        </w:rPr>
        <w:t>Glad oppervlak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8C5621" w:rsidP="008C5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Glad oppervlak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D213B"/>
    <w:rsid w:val="001651AF"/>
    <w:rsid w:val="00183048"/>
    <w:rsid w:val="001909B2"/>
    <w:rsid w:val="00305A27"/>
    <w:rsid w:val="00392F7C"/>
    <w:rsid w:val="003A2137"/>
    <w:rsid w:val="00400E33"/>
    <w:rsid w:val="00416E6B"/>
    <w:rsid w:val="0046050A"/>
    <w:rsid w:val="004624EC"/>
    <w:rsid w:val="005920C2"/>
    <w:rsid w:val="00593B82"/>
    <w:rsid w:val="00594E5A"/>
    <w:rsid w:val="00616738"/>
    <w:rsid w:val="00617759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D3706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2020-04-08T06:35:00Z</dcterms:created>
  <dcterms:modified xsi:type="dcterms:W3CDTF">2020-04-08T06:35:00Z</dcterms:modified>
</cp:coreProperties>
</file>