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808080"/>
          <w:sz w:val="18"/>
          <w:szCs w:val="18"/>
        </w:rPr>
        <w:t xml:space="preserve">CONFIDENTIAL  |  Smart Food Ingredients Scanner  |  Claude Design Transfer Note v1.0</w:t>
      </w:r>
    </w:p>
    <w:p>
      <w:pPr>
        <w:spacing w:after="60"/>
      </w:pPr>
      <w:r>
        <w:rPr>
          <w:b/>
          <w:bCs/>
          <w:sz w:val="36"/>
          <w:szCs w:val="36"/>
        </w:rPr>
        <w:t xml:space="preserve">SMART FOOD INGREDIENTS SCANNER</w:t>
      </w:r>
    </w:p>
    <w:p>
      <w:pPr>
        <w:spacing w:after="60"/>
      </w:pPr>
      <w:r>
        <w:rPr>
          <w:i/>
          <w:iCs/>
          <w:sz w:val="26"/>
          <w:szCs w:val="26"/>
        </w:rPr>
        <w:t xml:space="preserve">UI &amp; Visual Design Transfer Note</w:t>
      </w:r>
    </w:p>
    <w:p>
      <w:pPr>
        <w:spacing w:after="200"/>
      </w:pPr>
      <w:r>
        <w:rPr>
          <w:color w:val="808080"/>
          <w:sz w:val="18"/>
          <w:szCs w:val="18"/>
        </w:rPr>
        <w:t xml:space="preserve">Design Session  |  Confidential  |  Hand alongside Claude Code Transfer Note v3.0 and Content Library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D9B0" w:val="clear"/>
            <w:tcMar>
              <w:top w:type="dxa" w:w="80"/>
              <w:left w:type="dxa" w:w="120"/>
              <w:bottom w:type="dxa" w:w="80"/>
              <w:right w:type="dxa" w:w="120"/>
            </w:tcMar>
          </w:tcPr>
          <w:p>
            <w:pPr>
              <w:spacing w:after="80"/>
            </w:pPr>
            <w:r>
              <w:rPr>
                <w:b/>
                <w:bCs/>
                <w:i w:val="false"/>
                <w:iCs w:val="false"/>
              </w:rPr>
              <w:t xml:space="preserve">READ BEFORE DESIGNING A SINGLE SCREEN</w:t>
            </w:r>
          </w:p>
          <w:p>
            <w:pPr>
              <w:spacing w:after="0"/>
            </w:pPr>
            <w:r>
              <w:rPr>
                <w:b w:val="false"/>
                <w:bCs w:val="false"/>
                <w:i w:val="false"/>
                <w:iCs w:val="false"/>
              </w:rPr>
              <w:t xml:space="preserve">This note is self-contained. It is the authoritative design specification for this app. Your task is to produce a coherent, warm, trustworthy interface that is engaging and simple, while staying inside hard product and legal constraints. Several visual conventions that are standard in food and nutrition apps are prohibited here for legal reasons. Improving the visuals by reintroducing them will break the product. Where a constraint conflicts with a polish instinct, the constraint wins. All UI copy is supplied verbatim by the Content Library and must not be rewritten.</w:t>
            </w:r>
          </w:p>
        </w:tc>
      </w:tr>
    </w:tbl>
    <w:p>
      <w:pPr>
        <w:pStyle w:val="Heading1"/>
      </w:pPr>
      <w:r>
        <w:t xml:space="preserve">1. Product Identity for Design</w:t>
      </w:r>
    </w:p>
    <w:p>
      <w:pPr>
        <w:spacing w:after="120"/>
      </w:pPr>
      <w:r>
        <w:rPr>
          <w:b w:val="false"/>
          <w:bCs w:val="false"/>
          <w:i w:val="false"/>
          <w:iCs w:val="false"/>
        </w:rPr>
        <w:t xml:space="preserve">The Smart Food Ingredients Scanner is a personal food ingredient companion for individuals and families managing allergies, intolerances, and dietary preferences. It is not a calorie counter, fitness tracker, brand-rating system, or health advisor. Its core action is scanning a product label and reflecting back whether the contents match the user's own declared profile.</w:t>
      </w:r>
    </w:p>
    <w:p>
      <w:pPr>
        <w:spacing w:after="120"/>
      </w:pPr>
      <w:r>
        <w:rPr>
          <w:b w:val="false"/>
          <w:bCs w:val="false"/>
          <w:i w:val="false"/>
          <w:iCs w:val="false"/>
        </w:rPr>
        <w:t xml:space="preserve">The emotional context of every interaction is a person who has experienced real physical discomfort or fear from food and wants a calm, reliable tool that helps them shop without anxiety. The voice is a knowledgeable, warm, calm friend, not a medical professional, not a fitness coach, not a corporate tool. Design for a parent in a grocery store with one hand on a cart, for someone with reading difficulties parsing quickly, and for a child in child mode who should feel comfortable rather than intimidated.</w:t>
      </w:r>
    </w:p>
    <w:p>
      <w:pPr>
        <w:pStyle w:val="Heading2"/>
      </w:pPr>
      <w:r>
        <w:t xml:space="preserve">1.1 The Mirror Principle, the rule behind every visual decision</w:t>
      </w:r>
    </w:p>
    <w:p>
      <w:pPr>
        <w:spacing w:after="120"/>
      </w:pPr>
      <w:r>
        <w:rPr>
          <w:b w:val="false"/>
          <w:bCs w:val="false"/>
          <w:i w:val="false"/>
          <w:iCs w:val="false"/>
        </w:rPr>
        <w:t xml:space="preserve">The app reflects the user's own data back to them. It states what is present in a product matched to the user's declared profile. It never issues verdicts, safety labels, health grades, scores, brand rankings, or consumption advice. The user decides what to do with the information. Any visual element that implies the app is judging a product as good, bad, safe, or unsafe violates this principle and must not be designed.</w:t>
      </w:r>
    </w:p>
    <w:p>
      <w:pPr>
        <w:pStyle w:val="Heading1"/>
      </w:pPr>
      <w:r>
        <w:t xml:space="preserve">2. Prohibited Visual Patterns, Non-Negotiable</w:t>
      </w:r>
    </w:p>
    <w:p>
      <w:pPr>
        <w:spacing w:after="120"/>
      </w:pPr>
      <w:r>
        <w:rPr>
          <w:b w:val="false"/>
          <w:bCs w:val="false"/>
          <w:i w:val="false"/>
          <w:iCs w:val="false"/>
        </w:rPr>
        <w:t xml:space="preserve">The following are forbidden everywhere in the product. These are legal boundaries, not aesthetic preferences. Do not reintroduce them in the name of clarity, delight, or convention.</w:t>
      </w:r>
    </w:p>
    <w:p>
      <w:pPr>
        <w:pStyle w:val="ListParagraph"/>
        <w:numPr>
          <w:ilvl w:val="0"/>
          <w:numId w:val="2"/>
        </w:numPr>
        <w:spacing w:after="80"/>
      </w:pPr>
      <w:r>
        <w:t xml:space="preserve">No red and green semaphore. Green reads as safe to eat, which is a medical verdict the app must never issue. Red reads as danger or emergency and causes alarm fatigue across repeated scans.</w:t>
      </w:r>
    </w:p>
    <w:p>
      <w:pPr>
        <w:pStyle w:val="ListParagraph"/>
        <w:numPr>
          <w:ilvl w:val="0"/>
          <w:numId w:val="2"/>
        </w:numPr>
        <w:spacing w:after="80"/>
      </w:pPr>
      <w:r>
        <w:t xml:space="preserve">No overall score, grade, rating out of 100, letter grade, or star quality rating of a product.</w:t>
      </w:r>
    </w:p>
    <w:p>
      <w:pPr>
        <w:pStyle w:val="ListParagraph"/>
        <w:numPr>
          <w:ilvl w:val="0"/>
          <w:numId w:val="2"/>
        </w:numPr>
        <w:spacing w:after="80"/>
      </w:pPr>
      <w:r>
        <w:t xml:space="preserve">No binary safe versus unsafe indicator of any kind.</w:t>
      </w:r>
    </w:p>
    <w:p>
      <w:pPr>
        <w:pStyle w:val="ListParagraph"/>
        <w:numPr>
          <w:ilvl w:val="0"/>
          <w:numId w:val="2"/>
        </w:numPr>
        <w:spacing w:after="80"/>
      </w:pPr>
      <w:r>
        <w:t xml:space="preserve">No language or iconography stating a product can be eaten, should be avoided, or can cause harm.</w:t>
      </w:r>
    </w:p>
    <w:p>
      <w:pPr>
        <w:pStyle w:val="ListParagraph"/>
        <w:numPr>
          <w:ilvl w:val="0"/>
          <w:numId w:val="2"/>
        </w:numPr>
        <w:spacing w:after="80"/>
      </w:pPr>
      <w:r>
        <w:t xml:space="preserve">No gamified celebration of allergen results. Finding an allergen is information, not an achievement or a failure.</w:t>
      </w:r>
    </w:p>
    <w:p>
      <w:pPr>
        <w:pStyle w:val="ListParagraph"/>
        <w:numPr>
          <w:ilvl w:val="0"/>
          <w:numId w:val="2"/>
        </w:numPr>
        <w:spacing w:after="80"/>
      </w:pPr>
      <w:r>
        <w:t xml:space="preserve">No mascot or character. Deferred indefinitely. Not in V1 or V2.</w:t>
      </w:r>
    </w:p>
    <w:p>
      <w:pPr>
        <w:pStyle w:val="ListParagraph"/>
        <w:numPr>
          <w:ilvl w:val="0"/>
          <w:numId w:val="2"/>
        </w:numPr>
        <w:spacing w:after="80"/>
      </w:pPr>
      <w:r>
        <w:t xml:space="preserve">No alarming or urgent visual treatment on result findings. Findings are important, not emergencies.</w:t>
      </w:r>
    </w:p>
    <w:p>
      <w:pPr>
        <w:pStyle w:val="Heading1"/>
      </w:pPr>
      <w:r>
        <w:t xml:space="preserve">3. Design Language</w:t>
      </w:r>
    </w:p>
    <w:p>
      <w:pPr>
        <w:spacing w:after="120"/>
      </w:pPr>
      <w:r>
        <w:rPr>
          <w:b w:val="false"/>
          <w:bCs w:val="false"/>
          <w:i w:val="false"/>
          <w:iCs w:val="false"/>
        </w:rPr>
        <w:t xml:space="preserve">Warm, clean, and reassuring rather than clinical or gamified. Communicate trustworthiness and calm confidence. Avoid the sterile whites and clinical blues of medical apps. Avoid the aggressive greens and judgmental scoring aesthetics of nutrition apps. The emotional register sits between a well-designed health journaling app and the functional clarity of a receipt scanner.</w:t>
      </w:r>
    </w:p>
    <w:p>
      <w:pPr>
        <w:spacing w:after="120"/>
      </w:pPr>
      <w:r>
        <w:rPr>
          <w:b w:val="false"/>
          <w:bCs w:val="false"/>
          <w:i w:val="false"/>
          <w:iCs w:val="false"/>
        </w:rPr>
        <w:t xml:space="preserve">Simple enough to operate one-handed in poor grocery-store lighting. Clear enough to parse at a glance. Warm enough that the app becomes the thing that makes a user feel safe, which is the strongest retention anchor in the product.</w:t>
      </w:r>
    </w:p>
    <w:p>
      <w:pPr>
        <w:pStyle w:val="Heading1"/>
      </w:pPr>
      <w:r>
        <w:t xml:space="preserve">4. Color System</w:t>
      </w:r>
    </w:p>
    <w:p>
      <w:pPr>
        <w:spacing w:after="120"/>
      </w:pPr>
      <w:r>
        <w:rPr>
          <w:b/>
          <w:bCs/>
          <w:i w:val="false"/>
          <w:iCs w:val="false"/>
        </w:rPr>
        <w:t xml:space="preserve">The indicator system communicates presence versus absence, never safe versus unsafe.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Element</w:t>
            </w:r>
          </w:p>
        </w:tc>
        <w:tc>
          <w:tcPr>
            <w:tcW w:type="dxa" w:w="6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Treatment and 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Finding present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Filled amber circle on the relevant match bar. Amber signals a relevant finding requiring the user's attention. It does not signal danger or safety.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Category clean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Absent indicator. Clean categories are simply not surfaced. No green, no checkmark of approval.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Allergen match 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Warm amber. Serious and attention-commanding without triggering panic.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Intolerance match 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Muted orange, distinct from allergen amber.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Goal alignment 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Calm blue-gray. Informational, never negative.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Unknown ingredients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Neutral gray text. No bar, no colored indicator.</w:t>
            </w:r>
          </w:p>
        </w:tc>
      </w:tr>
    </w:tbl>
    <w:p>
      <w:pPr>
        <w:spacing w:after="80"/>
      </w:pPr>
      <w:r>
        <w:rPr>
          <w:b w:val="false"/>
          <w:bCs w:val="false"/>
          <w:i w:val="false"/>
          <w:iCs w:val="false"/>
        </w:rPr>
        <w:t xml:space="preserve">Propose a warm neutral base with a single calm primary accent. Do not use dark mode as the primary theme given the family-inclusive demographic. Semantic colors are reserved for the meanings above and must not be repurposed elsewhere in the interface.</w:t>
      </w:r>
    </w:p>
    <w:p>
      <w:pPr>
        <w:pStyle w:val="Heading1"/>
      </w:pPr>
      <w:r>
        <w:t xml:space="preserve">5. Typography and the Masking Layer</w:t>
      </w:r>
    </w:p>
    <w:p>
      <w:pPr>
        <w:spacing w:after="120"/>
      </w:pPr>
      <w:r>
        <w:rPr>
          <w:b w:val="false"/>
          <w:bCs w:val="false"/>
          <w:i w:val="false"/>
          <w:iCs w:val="false"/>
        </w:rPr>
        <w:t xml:space="preserve">Legibility is the primary requirement. Large, clear body text. No decorative fonts. Plain human language is the product-wide standard, enforced through type hierarchy as well as copy.</w:t>
      </w:r>
    </w:p>
    <w:p>
      <w:pPr>
        <w:pStyle w:val="ListParagraph"/>
        <w:numPr>
          <w:ilvl w:val="0"/>
          <w:numId w:val="2"/>
        </w:numPr>
        <w:spacing w:after="80"/>
      </w:pPr>
      <w:r>
        <w:t xml:space="preserve">Common name of an ingredient is always displayed larger than the technical name.</w:t>
      </w:r>
    </w:p>
    <w:p>
      <w:pPr>
        <w:pStyle w:val="ListParagraph"/>
        <w:numPr>
          <w:ilvl w:val="0"/>
          <w:numId w:val="2"/>
        </w:numPr>
        <w:spacing w:after="80"/>
      </w:pPr>
      <w:r>
        <w:t xml:space="preserve">Technical names appear only in parentheses, at a smaller weight, directly below the common name, and only on the result screen and log entries. Nowhere else.</w:t>
      </w:r>
    </w:p>
    <w:p>
      <w:pPr>
        <w:pStyle w:val="ListParagraph"/>
        <w:numPr>
          <w:ilvl w:val="0"/>
          <w:numId w:val="2"/>
        </w:numPr>
        <w:spacing w:after="80"/>
      </w:pPr>
      <w:r>
        <w:t xml:space="preserve">The masking layer is global. Onboarding, settings, results, logs, notifications, errors, and tier messaging all use plain language first.</w:t>
      </w:r>
    </w:p>
    <w:p>
      <w:pPr>
        <w:pStyle w:val="Heading1"/>
      </w:pPr>
      <w:r>
        <w:t xml:space="preserve">6. The Result Screen, the Core Surface</w:t>
      </w:r>
    </w:p>
    <w:p>
      <w:pPr>
        <w:spacing w:after="120"/>
      </w:pPr>
      <w:r>
        <w:rPr>
          <w:b w:val="false"/>
          <w:bCs w:val="false"/>
          <w:i w:val="false"/>
          <w:iCs w:val="false"/>
        </w:rPr>
        <w:t xml:space="preserve">This is the most important screen in the product. It is locked. Layout from top to bottom:</w:t>
      </w:r>
    </w:p>
    <w:p>
      <w:pPr>
        <w:pStyle w:val="Heading2"/>
      </w:pPr>
      <w:r>
        <w:t xml:space="preserve">6.1 Match bars</w:t>
      </w:r>
    </w:p>
    <w:p>
      <w:pPr>
        <w:pStyle w:val="ListParagraph"/>
        <w:numPr>
          <w:ilvl w:val="0"/>
          <w:numId w:val="2"/>
        </w:numPr>
        <w:spacing w:after="80"/>
      </w:pPr>
      <w:r>
        <w:t xml:space="preserve">One large tappable bar per finding category that has results. Categories with no findings are absent, not shown as empty.</w:t>
      </w:r>
    </w:p>
    <w:p>
      <w:pPr>
        <w:pStyle w:val="ListParagraph"/>
        <w:numPr>
          <w:ilvl w:val="0"/>
          <w:numId w:val="2"/>
        </w:numPr>
        <w:spacing w:after="80"/>
      </w:pPr>
      <w:r>
        <w:t xml:space="preserve">Left side of each bar carries the filled amber circle indicator.</w:t>
      </w:r>
    </w:p>
    <w:p>
      <w:pPr>
        <w:pStyle w:val="ListParagraph"/>
        <w:numPr>
          <w:ilvl w:val="0"/>
          <w:numId w:val="2"/>
        </w:numPr>
        <w:spacing w:after="80"/>
      </w:pPr>
      <w:r>
        <w:t xml:space="preserve">Top of the bar shows the category label, for example Allergen Match, Intolerance Note, or May Not Align With Your Goals.</w:t>
      </w:r>
    </w:p>
    <w:p>
      <w:pPr>
        <w:pStyle w:val="ListParagraph"/>
        <w:numPr>
          <w:ilvl w:val="0"/>
          <w:numId w:val="2"/>
        </w:numPr>
        <w:spacing w:after="80"/>
      </w:pPr>
      <w:r>
        <w:t xml:space="preserve">Body of the bar lists the specific matching ingredients in smaller text inside the bar. The bar extends vertically to contain all of them.</w:t>
      </w:r>
    </w:p>
    <w:p>
      <w:pPr>
        <w:pStyle w:val="ListParagraph"/>
        <w:numPr>
          <w:ilvl w:val="0"/>
          <w:numId w:val="2"/>
        </w:numPr>
        <w:spacing w:after="80"/>
      </w:pPr>
      <w:r>
        <w:t xml:space="preserve">When a family allergen session is active, the bar shows which profile each match belongs to, for example Peanuts, Child Name.</w:t>
      </w:r>
    </w:p>
    <w:p>
      <w:pPr>
        <w:pStyle w:val="ListParagraph"/>
        <w:numPr>
          <w:ilvl w:val="0"/>
          <w:numId w:val="2"/>
        </w:numPr>
        <w:spacing w:after="80"/>
      </w:pPr>
      <w:r>
        <w:t xml:space="preserve">Bar colors follow Section 4: allergen warm amber, intolerance muted orange, goal blue-gray.</w:t>
      </w:r>
    </w:p>
    <w:p>
      <w:pPr>
        <w:pStyle w:val="Heading2"/>
      </w:pPr>
      <w:r>
        <w:t xml:space="preserve">6.2 Information card, opens when a bar is tapped</w:t>
      </w:r>
    </w:p>
    <w:p>
      <w:pPr>
        <w:spacing w:after="120"/>
      </w:pPr>
      <w:r>
        <w:rPr>
          <w:b w:val="false"/>
          <w:bCs w:val="false"/>
          <w:i w:val="false"/>
          <w:iCs w:val="false"/>
        </w:rPr>
        <w:t xml:space="preserve">Each match bar is fully tappable and opens a full information card. Cards are written once per parent allergen or ingredient family and reused across all derivative terms. The card explains the finding using reusable sentence components that are mixed and matched around the specific ingredient words, giving plain-language insight into what the ingredient is and why it was flagged.</w:t>
      </w:r>
    </w:p>
    <w:p>
      <w:pPr>
        <w:pStyle w:val="ListParagraph"/>
        <w:numPr>
          <w:ilvl w:val="0"/>
          <w:numId w:val="2"/>
        </w:numPr>
        <w:spacing w:after="80"/>
      </w:pPr>
      <w:r>
        <w:t xml:space="preserve">Common name large, technical name in parentheses below.</w:t>
      </w:r>
    </w:p>
    <w:p>
      <w:pPr>
        <w:pStyle w:val="ListParagraph"/>
        <w:numPr>
          <w:ilvl w:val="0"/>
          <w:numId w:val="2"/>
        </w:numPr>
        <w:spacing w:after="80"/>
      </w:pPr>
      <w:r>
        <w:t xml:space="preserve">Derivative context sentence, for example explaining that Pindar is another name for peanuts.</w:t>
      </w:r>
    </w:p>
    <w:p>
      <w:pPr>
        <w:pStyle w:val="ListParagraph"/>
        <w:numPr>
          <w:ilvl w:val="0"/>
          <w:numId w:val="2"/>
        </w:numPr>
        <w:spacing w:after="80"/>
      </w:pPr>
      <w:r>
        <w:t xml:space="preserve">Plain-language description of what it is, where it appears, and why it carries different names.</w:t>
      </w:r>
    </w:p>
    <w:p>
      <w:pPr>
        <w:pStyle w:val="ListParagraph"/>
        <w:numPr>
          <w:ilvl w:val="0"/>
          <w:numId w:val="2"/>
        </w:numPr>
        <w:spacing w:after="80"/>
      </w:pPr>
      <w:r>
        <w:t xml:space="preserve">How it correlates to the user's declared profile, plus the confidence level of the match.</w:t>
      </w:r>
    </w:p>
    <w:p>
      <w:pPr>
        <w:pStyle w:val="ListParagraph"/>
        <w:numPr>
          <w:ilvl w:val="0"/>
          <w:numId w:val="2"/>
        </w:numPr>
        <w:spacing w:after="80"/>
      </w:pPr>
      <w:r>
        <w:t xml:space="preserve">Maximum 150 words. No advisory language. No verdict language. Card body copy is CONTENT PENDING, so design the card to display a placeholder gracefully until content is supplied.</w:t>
      </w:r>
    </w:p>
    <w:p>
      <w:pPr>
        <w:pStyle w:val="Heading2"/>
      </w:pPr>
      <w:r>
        <w:t xml:space="preserve">6.3 Could Not Verify zone</w:t>
      </w:r>
    </w:p>
    <w:p>
      <w:pPr>
        <w:pStyle w:val="ListParagraph"/>
        <w:numPr>
          <w:ilvl w:val="0"/>
          <w:numId w:val="2"/>
        </w:numPr>
        <w:spacing w:after="80"/>
      </w:pPr>
      <w:r>
        <w:t xml:space="preserve">Positioned at the bottom of the screen, below all match bars, separated by a visible divider.</w:t>
      </w:r>
    </w:p>
    <w:p>
      <w:pPr>
        <w:pStyle w:val="ListParagraph"/>
        <w:numPr>
          <w:ilvl w:val="0"/>
          <w:numId w:val="2"/>
        </w:numPr>
        <w:spacing w:after="80"/>
      </w:pPr>
      <w:r>
        <w:t xml:space="preserve">Own section header and own distinct icon. Unknown ingredients listed in neutral gray text, no bar, no colored indicator.</w:t>
      </w:r>
    </w:p>
    <w:p>
      <w:pPr>
        <w:pStyle w:val="ListParagraph"/>
        <w:numPr>
          <w:ilvl w:val="0"/>
          <w:numId w:val="2"/>
        </w:numPr>
        <w:spacing w:after="80"/>
      </w:pPr>
      <w:r>
        <w:t xml:space="preserve">Two-tier display: not in our database, versus database updating, check back soon. Connectivity prompt included.</w:t>
      </w:r>
    </w:p>
    <w:p>
      <w:pPr>
        <w:pStyle w:val="Heading2"/>
      </w:pPr>
      <w:r>
        <w:t xml:space="preserve">6.4 Footer</w:t>
      </w:r>
    </w:p>
    <w:p>
      <w:pPr>
        <w:pStyle w:val="ListParagraph"/>
        <w:numPr>
          <w:ilvl w:val="0"/>
          <w:numId w:val="2"/>
        </w:numPr>
        <w:spacing w:after="80"/>
      </w:pPr>
      <w:r>
        <w:t xml:space="preserve">Mandatory disclaimer, exact wording supplied by the Content Library, never altered.</w:t>
      </w:r>
    </w:p>
    <w:p>
      <w:pPr>
        <w:pStyle w:val="ListParagraph"/>
        <w:numPr>
          <w:ilvl w:val="0"/>
          <w:numId w:val="2"/>
        </w:numPr>
        <w:spacing w:after="80"/>
      </w:pPr>
      <w:r>
        <w:t xml:space="preserve">Database currency date and original-packaging reminder.</w:t>
      </w:r>
    </w:p>
    <w:p>
      <w:pPr>
        <w:pStyle w:val="ListParagraph"/>
        <w:numPr>
          <w:ilvl w:val="0"/>
          <w:numId w:val="2"/>
        </w:numPr>
        <w:spacing w:after="80"/>
      </w:pPr>
      <w:r>
        <w:t xml:space="preserve">Report a labeling error text link, visible on every result across all tiers.</w:t>
      </w:r>
    </w:p>
    <w:p>
      <w:pPr>
        <w:pStyle w:val="Heading2"/>
      </w:pPr>
      <w:r>
        <w:t xml:space="preserve">6.5 Emoji rating</w:t>
      </w:r>
    </w:p>
    <w:p>
      <w:pPr>
        <w:pStyle w:val="ListParagraph"/>
        <w:numPr>
          <w:ilvl w:val="0"/>
          <w:numId w:val="2"/>
        </w:numPr>
        <w:spacing w:after="80"/>
      </w:pPr>
      <w:r>
        <w:t xml:space="preserve">Appears after results. Five-emoji scale. Optional and scroll-past. Any tap triggers a rotating micro-confirmation that does not repeat within five interactions. No humor in proximity to allergen findings.</w:t>
      </w:r>
    </w:p>
    <w:p>
      <w:pPr>
        <w:pStyle w:val="Heading1"/>
      </w:pPr>
      <w:r>
        <w:t xml:space="preserve">7. Other Screens and Their Emotional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Screen</w:t>
            </w:r>
          </w:p>
        </w:tc>
        <w:tc>
          <w:tcPr>
            <w:tcW w:type="dxa" w:w="70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Design intent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Onboarding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 warm welcome, not a data-collection exercise. One question per screen, never a form. Skip always visible and never guilt-inducing. The email screen must feel transparent and trust-building, with the single-sentence purpose statement as the most prominent text after the field label.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Profile questions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Preset tile grid plus a type-in search bar with real-time database auto-suggest. Selected items appear as removable chips. Severity prompt sits below each allergen or intolerance chip. Single taps and short typing only.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Camera capture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Guided and supportive, never pressured. Flatness-detection overlay should encourage, not correct. Step prompts read as friendly guidance. Family allergen session control sits at the bottom, with member chips that persist for the session and an x to remove.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Processing screen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 engagement and trust moment disguised as a loading state. Show the active step in warm plain language using the user's own allergen common names. Feel intelligent and active, not a spinner.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Calendar and log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 personal food diary, not a tracking dashboard. Monthly grid primary, day view chronological. User color-tags dates. Auto-generated entries feel complete, with a Tap to edit name affordance and an accessible note-append button.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Family switching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Accessible from the profile screen, not buried in settings. Profile avatars visually distinct, child profiles clearly different from adult. Switching is a single tap.</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Child mode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Genuinely simplified, not just larger text. Larger touch targets, simpler vocabulary, warmer treatment. Allergen results read in plain, direct, child-appropriate language with no humor.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Token counter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Gentle awareness, not a countdown clock. Accessible without being prominent. Zero-token state handled with warmth and a soft upgrade prompt, never a hard wall.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Pattern section, V1</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 dedicated section reached from home. V1 shows a ranked plain-text ingredient frequency list, not a chart. Near-empty states show progress toward the unlock threshold, never a broken frame.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Error states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Same warm tone as the rest of the product. Every error offers a next step, never a dead end.</w:t>
            </w:r>
          </w:p>
        </w:tc>
      </w:tr>
    </w:tbl>
    <w:p>
      <w:pPr>
        <w:pStyle w:val="Heading1"/>
      </w:pPr>
      <w:r>
        <w:t xml:space="preserve">8. Engagement Architecture</w:t>
      </w:r>
    </w:p>
    <w:p>
      <w:pPr>
        <w:spacing w:after="120"/>
      </w:pPr>
      <w:r>
        <w:rPr>
          <w:b w:val="false"/>
          <w:bCs w:val="false"/>
          <w:i w:val="false"/>
          <w:iCs w:val="false"/>
        </w:rPr>
        <w:t xml:space="preserve">The habit loop is scan, see result, rate with emoji, occasionally receive a meaningful follow-up, watch personal history grow in the calendar. Each touchpoint must be rewarding enough to complete and light enough not to interrupt shopping. Engagement is built from variety and warmth, not from gamification pressure.</w:t>
      </w:r>
    </w:p>
    <w:p>
      <w:pPr>
        <w:pStyle w:val="ListParagraph"/>
        <w:numPr>
          <w:ilvl w:val="0"/>
          <w:numId w:val="2"/>
        </w:numPr>
        <w:spacing w:after="80"/>
      </w:pPr>
      <w:r>
        <w:t xml:space="preserve">Micro-confirmation after emoji rating is a critical moment. A brief personal acknowledgment makes the interaction feel like a two-way exchange rather than data extraction. Give it disproportionate design attention.</w:t>
      </w:r>
    </w:p>
    <w:p>
      <w:pPr>
        <w:pStyle w:val="ListParagraph"/>
        <w:numPr>
          <w:ilvl w:val="0"/>
          <w:numId w:val="2"/>
        </w:numPr>
        <w:spacing w:after="80"/>
      </w:pPr>
      <w:r>
        <w:t xml:space="preserve">The calendar filling over time is the primary long-term engagement visual. Surface accumulated history so the user feels their record growing.</w:t>
      </w:r>
    </w:p>
    <w:p>
      <w:pPr>
        <w:pStyle w:val="ListParagraph"/>
        <w:numPr>
          <w:ilvl w:val="0"/>
          <w:numId w:val="2"/>
        </w:numPr>
        <w:spacing w:after="80"/>
      </w:pPr>
      <w:r>
        <w:t xml:space="preserve">Streak indicator is framed as a personal history marker, not a gamified badge. You have been tracking for fourteen days, not a fourteen-day streak with trophies.</w:t>
      </w:r>
    </w:p>
    <w:p>
      <w:pPr>
        <w:pStyle w:val="ListParagraph"/>
        <w:numPr>
          <w:ilvl w:val="0"/>
          <w:numId w:val="2"/>
        </w:numPr>
        <w:spacing w:after="80"/>
      </w:pPr>
      <w:r>
        <w:t xml:space="preserve">Weekly insight and first-fourteen-day micro-tips arrive as gentle personal observations, never as automated reports.</w:t>
      </w:r>
    </w:p>
    <w:p>
      <w:pPr>
        <w:pStyle w:val="Heading1"/>
      </w:pPr>
      <w:r>
        <w:t xml:space="preserve">9. Copy Ownership</w:t>
      </w:r>
    </w:p>
    <w:p>
      <w:pPr>
        <w:spacing w:after="120"/>
      </w:pPr>
      <w:r>
        <w:rPr>
          <w:b w:val="false"/>
          <w:bCs w:val="false"/>
          <w:i w:val="false"/>
          <w:iCs w:val="false"/>
        </w:rPr>
        <w:t xml:space="preserve">All user-facing words come from the Content Library v1.1. Design does not write or paraphrase copy. Exact-wording blocks, including the privacy summary, the result-screen footer disclaimer, and the email disclosure, are verbatim and must be placed without alteration. Where copy is marked CONTENT PENDING, design the container to hold a placeholder and accommodate the final length later.</w:t>
      </w:r>
    </w:p>
    <w:p>
      <w:pPr>
        <w:pStyle w:val="Heading1"/>
      </w:pPr>
      <w:r>
        <w:t xml:space="preserve">10. Accessibility Baseline</w:t>
      </w:r>
    </w:p>
    <w:p>
      <w:pPr>
        <w:pStyle w:val="ListParagraph"/>
        <w:numPr>
          <w:ilvl w:val="0"/>
          <w:numId w:val="2"/>
        </w:numPr>
        <w:spacing w:after="80"/>
      </w:pPr>
      <w:r>
        <w:t xml:space="preserve">Minimum 44 by 44 point touch targets throughout.</w:t>
      </w:r>
    </w:p>
    <w:p>
      <w:pPr>
        <w:pStyle w:val="ListParagraph"/>
        <w:numPr>
          <w:ilvl w:val="0"/>
          <w:numId w:val="2"/>
        </w:numPr>
        <w:spacing w:after="80"/>
      </w:pPr>
      <w:r>
        <w:t xml:space="preserve">High-contrast text on all backgrounds.</w:t>
      </w:r>
    </w:p>
    <w:p>
      <w:pPr>
        <w:pStyle w:val="ListParagraph"/>
        <w:numPr>
          <w:ilvl w:val="0"/>
          <w:numId w:val="2"/>
        </w:numPr>
        <w:spacing w:after="80"/>
      </w:pPr>
      <w:r>
        <w:t xml:space="preserve">VoiceOver and TalkBack compatible labels on all interactive elements, with particular care on the camera capture interface.</w:t>
      </w:r>
    </w:p>
    <w:p>
      <w:pPr>
        <w:pStyle w:val="ListParagraph"/>
        <w:numPr>
          <w:ilvl w:val="0"/>
          <w:numId w:val="2"/>
        </w:numPr>
        <w:spacing w:after="80"/>
      </w:pPr>
      <w:r>
        <w:t xml:space="preserve">This demographic includes disproportionately high rates of visual, motor, and cognitive accessibility needs. Treat accessibility as a core requirement, not a later pass.</w:t>
      </w:r>
    </w:p>
    <w:p>
      <w:pPr>
        <w:pStyle w:val="Heading1"/>
      </w:pPr>
      <w:r>
        <w:t xml:space="preserve">11. Consistency Checklist</w:t>
      </w:r>
    </w:p>
    <w:p>
      <w:pPr>
        <w:spacing w:after="120"/>
      </w:pPr>
      <w:r>
        <w:rPr>
          <w:b w:val="false"/>
          <w:bCs w:val="false"/>
          <w:i w:val="false"/>
          <w:iCs w:val="false"/>
        </w:rPr>
        <w:t xml:space="preserve">Apply to every screen before considering it complete:</w:t>
      </w:r>
    </w:p>
    <w:p>
      <w:pPr>
        <w:pStyle w:val="ListParagraph"/>
        <w:numPr>
          <w:ilvl w:val="0"/>
          <w:numId w:val="2"/>
        </w:numPr>
        <w:spacing w:after="80"/>
      </w:pPr>
      <w:r>
        <w:t xml:space="preserve">Indicators use amber filled circle for findings and absence for clean. No red. No green.</w:t>
      </w:r>
    </w:p>
    <w:p>
      <w:pPr>
        <w:pStyle w:val="ListParagraph"/>
        <w:numPr>
          <w:ilvl w:val="0"/>
          <w:numId w:val="2"/>
        </w:numPr>
        <w:spacing w:after="80"/>
      </w:pPr>
      <w:r>
        <w:t xml:space="preserve">No score, grade, or safe-versus-unsafe verdict appears anywhere.</w:t>
      </w:r>
    </w:p>
    <w:p>
      <w:pPr>
        <w:pStyle w:val="ListParagraph"/>
        <w:numPr>
          <w:ilvl w:val="0"/>
          <w:numId w:val="2"/>
        </w:numPr>
        <w:spacing w:after="80"/>
      </w:pPr>
      <w:r>
        <w:t xml:space="preserve">Common name is larger than technical name, technical name only in parentheses on results and logs.</w:t>
      </w:r>
    </w:p>
    <w:p>
      <w:pPr>
        <w:pStyle w:val="ListParagraph"/>
        <w:numPr>
          <w:ilvl w:val="0"/>
          <w:numId w:val="2"/>
        </w:numPr>
        <w:spacing w:after="80"/>
      </w:pPr>
      <w:r>
        <w:t xml:space="preserve">Humor never appears in proximity to allergen, intolerance, or health-critical content, or to data-loss errors, or in child allergen screens.</w:t>
      </w:r>
    </w:p>
    <w:p>
      <w:pPr>
        <w:pStyle w:val="ListParagraph"/>
        <w:numPr>
          <w:ilvl w:val="0"/>
          <w:numId w:val="2"/>
        </w:numPr>
        <w:spacing w:after="80"/>
      </w:pPr>
      <w:r>
        <w:t xml:space="preserve">Findings feel important and calm, never alarming.</w:t>
      </w:r>
    </w:p>
    <w:p>
      <w:pPr>
        <w:pStyle w:val="ListParagraph"/>
        <w:numPr>
          <w:ilvl w:val="0"/>
          <w:numId w:val="2"/>
        </w:numPr>
        <w:spacing w:after="80"/>
      </w:pPr>
      <w:r>
        <w:t xml:space="preserve">Every error and locked state offers a gentle next step.</w:t>
      </w:r>
    </w:p>
    <w:p>
      <w:pPr>
        <w:pStyle w:val="ListParagraph"/>
        <w:numPr>
          <w:ilvl w:val="0"/>
          <w:numId w:val="2"/>
        </w:numPr>
        <w:spacing w:after="80"/>
      </w:pPr>
      <w:r>
        <w:t xml:space="preserve">Copy is placed verbatim from the Content Library, not rewritten.</w:t>
      </w:r>
    </w:p>
    <w:p>
      <w:pPr>
        <w:pStyle w:val="Heading1"/>
      </w:pPr>
      <w:r>
        <w:t xml:space="preserve">12. Out of Scope for This Design Pass</w:t>
      </w:r>
    </w:p>
    <w:p>
      <w:pPr>
        <w:pStyle w:val="ListParagraph"/>
        <w:numPr>
          <w:ilvl w:val="0"/>
          <w:numId w:val="2"/>
        </w:numPr>
        <w:spacing w:after="80"/>
      </w:pPr>
      <w:r>
        <w:t xml:space="preserve">Full V2 pattern charts, mascot or character, household allergen summary as a user-facing screen, and barcode scanning as a user-facing feature. Do not design these.</w:t>
      </w:r>
    </w:p>
    <w:p>
      <w:pPr>
        <w:spacing w:after="0"/>
      </w:pPr>
      <w:r>
        <w:rPr>
          <w:b w:val="false"/>
          <w:bCs w:val="false"/>
          <w:i w:val="false"/>
          <w:iCs w:val="false"/>
        </w:rPr>
        <w:t xml:space="preserve">If a needed decision is missing, flag it rather than inventing a convention that could conflict with the locked specification.</w:t>
      </w:r>
    </w:p>
    <w:p>
      <w:pPr>
        <w:spacing w:before="240"/>
      </w:pPr>
      <w:r>
        <w:rPr>
          <w:color w:val="808080"/>
          <w:sz w:val="18"/>
          <w:szCs w:val="18"/>
        </w:rPr>
        <w:t xml:space="preserve">Proprietary &amp; Confidential  |  Claude Design Transfer Note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A88"/>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4040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2026-06-04T15:50:36.215Z</dcterms:created>
  <dcterms:modified xsi:type="dcterms:W3CDTF">2026-06-04T15:50:36.216Z</dcterms:modified>
</cp:coreProperties>
</file>

<file path=docProps/custom.xml><?xml version="1.0" encoding="utf-8"?>
<Properties xmlns="http://schemas.openxmlformats.org/officeDocument/2006/custom-properties" xmlns:vt="http://schemas.openxmlformats.org/officeDocument/2006/docPropsVTypes"/>
</file>