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ANVARA</w:t>
      </w:r>
    </w:p>
    <w:p>
      <w:r>
        <w:rPr>
          <w:b/>
          <w:i w:val="0"/>
        </w:rPr>
        <w:t>Amendments to Transfer Note v3.0 &amp; Supporting Documents — v3.1</w:t>
      </w:r>
    </w:p>
    <w:p>
      <w:r>
        <w:rPr>
          <w:b w:val="0"/>
          <w:i/>
        </w:rPr>
        <w:t>Authoritative — Supersedes the specific lines listed below in v3.0, Content Library v1.1, Legal Policies note, and Ingredient Database note v2 | Confidential</w:t>
      </w:r>
    </w:p>
    <w:p>
      <w:r>
        <w:rPr>
          <w:b/>
          <w:i w:val="0"/>
        </w:rPr>
        <w:t>READ BEFORE IMPLEMENTING — These seven decisions are LOCKED and override the earlier wording wherever they conflict. Everything not listed here is unchanged. One item (Decision 2) reverses a prior correction and changes legal copy — see the ATTORNEY flag.</w:t>
      </w:r>
    </w:p>
    <w:p>
      <w:pPr>
        <w:pStyle w:val="Heading1"/>
      </w:pPr>
      <w:r>
        <w:t>1. Image Retention Notice — Device-Only — Single Canonical Verbatim</w:t>
      </w:r>
    </w:p>
    <w:p>
      <w:r>
        <w:rPr>
          <w:b w:val="0"/>
          <w:i w:val="0"/>
        </w:rPr>
        <w:t>Resolves the conflict between Content Library v1.1 §3 and Legal Policies §2.2, which carried two different “verbatim” versions. Scan photos live on the device only. Both documents now use this single text, identical in every location:</w:t>
      </w:r>
    </w:p>
    <w:p>
      <w:pPr>
        <w:ind w:left="360"/>
      </w:pPr>
      <w:r>
        <w:rPr>
          <w:i/>
        </w:rPr>
        <w:t>“Scan photos are stored on your device only for 7 days then automatically removed. All ingredient information and your notes are kept permanently on your account. You can choose to store photos permanently in Settings — they will remain on your device only.”</w:t>
      </w:r>
    </w:p>
    <w:p>
      <w:r>
        <w:rPr>
          <w:b/>
        </w:rPr>
        <w:t xml:space="preserve">Applies to: </w:t>
      </w:r>
      <w:r>
        <w:t>Content Library v1.1 §3 (Image Retention Notice), Legal Policies §2.2 (Image Retention Disclosure), and the in-app first-scan disclosure. The shorter Content Library wording that dropped “only” and the trailing device-only clause is RETIRED.</w:t>
      </w:r>
    </w:p>
    <w:p>
      <w:pPr>
        <w:pStyle w:val="Heading1"/>
      </w:pPr>
      <w:r>
        <w:t>2. Barcode Purpose — Backup Only — No Open Food Facts Redirect at Launch</w:t>
      </w:r>
    </w:p>
    <w:p>
      <w:r>
        <w:rPr>
          <w:b w:val="0"/>
          <w:i w:val="0"/>
        </w:rPr>
        <w:t>The barcode’s sole purpose is to resolve the product NAME. It is never shown to the user, never used for ingredient data, and is invoked only as a BACKUP path:</w:t>
      </w:r>
    </w:p>
    <w:p>
      <w:pPr>
        <w:pStyle w:val="ListBullet"/>
      </w:pPr>
      <w:r>
        <w:t>Barcode decode runs only after camera-based product-text extraction has failed 3 times (three “cannot read the product text” feedbacks), or on a systematic extraction error or delay.</w:t>
      </w:r>
    </w:p>
    <w:p>
      <w:pPr>
        <w:pStyle w:val="ListBullet"/>
      </w:pPr>
      <w:r>
        <w:t>It does NOT redirect to Open Food Facts at launch. On a retrieval failure it consults OUR OWN local database as the backup, and uses that under critical food-data-retrieval failure conditions.</w:t>
      </w:r>
    </w:p>
    <w:p>
      <w:pPr>
        <w:pStyle w:val="ListBullet"/>
      </w:pPr>
      <w:r>
        <w:t>Open Food Facts is removed from the launch product-name path entirely and deferred to the Phase 2 runtime backup layer.</w:t>
      </w:r>
    </w:p>
    <w:p>
      <w:r>
        <w:rPr>
          <w:b/>
          <w:i w:val="0"/>
        </w:rPr>
        <w:t>Revised Technical Stack line (v3.0 §2):</w:t>
      </w:r>
    </w:p>
    <w:p>
      <w:r>
        <w:rPr>
          <w:b/>
        </w:rPr>
        <w:t xml:space="preserve">Product Name resolution </w:t>
      </w:r>
      <w:r>
        <w:t>— local database at launch. Barcode decode is the backup trigger after 3 OCR failures. Open Food Facts deferred to Phase 2 runtime layer.</w:t>
      </w:r>
    </w:p>
    <w:p>
      <w:r>
        <w:rPr>
          <w:b/>
          <w:i w:val="0"/>
        </w:rPr>
        <w:t>Revised Fallback Chain for product name (v3.0 §6.1) — replaces the API-name chain:</w:t>
      </w:r>
    </w:p>
    <w:p>
      <w:pPr>
        <w:pStyle w:val="ListBullet"/>
      </w:pPr>
      <w:r>
        <w:t>1. OCR front-label name/brand extraction succeeds → use it.</w:t>
      </w:r>
    </w:p>
    <w:p>
      <w:pPr>
        <w:pStyle w:val="ListBullet"/>
      </w:pPr>
      <w:r>
        <w:t>2. OCR fails 3 times or systematic error → barcode decode → resolve name against our local database.</w:t>
      </w:r>
    </w:p>
    <w:p>
      <w:pPr>
        <w:pStyle w:val="ListBullet"/>
      </w:pPr>
      <w:r>
        <w:t>3. All fail → “Unnamed Product · [DATE]” with immediate edit prompt.</w:t>
      </w:r>
    </w:p>
    <w:p>
      <w:r>
        <w:rPr>
          <w:b/>
          <w:i w:val="0"/>
          <w:color w:val="B00000"/>
        </w:rPr>
        <w:t>PRIVACY CONSEQUENCE — Correction 2 reversed for launch:</w:t>
      </w:r>
    </w:p>
    <w:p>
      <w:r>
        <w:rPr>
          <w:b w:val="0"/>
          <w:i w:val="0"/>
          <w:color w:val="B00000"/>
        </w:rPr>
        <w:t>Content Library v1.1 Correction 2 added “…the barcode may be sent to Open Food Facts…to identify the product name” to the privacy summary. Because the barcode no longer reaches Open Food Facts at launch, that sentence is REMOVED from the launch privacy summary, and the Open Food Facts / ODbL attribution obligations (Legal §7) become PHASE 2 obligations, activated only when the Open Food Facts runtime layer goes live. Attorney to confirm.</w:t>
      </w:r>
    </w:p>
    <w:p>
      <w:r>
        <w:rPr>
          <w:b/>
          <w:i w:val="0"/>
        </w:rPr>
        <w:t>Corrected launch Privacy Summary — Verbatim — replaces the v1.1 Corrected version at launch:</w:t>
      </w:r>
    </w:p>
    <w:p>
      <w:pPr>
        <w:ind w:left="360"/>
      </w:pPr>
      <w:r>
        <w:rPr>
          <w:i/>
        </w:rPr>
        <w:t>“Your data is stored securely on your personal account on our encrypted servers. Your data is retained for up to 3 years to improve our ingredient database, after which it becomes anonymous statistics that cannot be linked to you. Scan photos are stored on your device only for 7 days then automatically removed. You can delete everything at any time from Settings.”</w:t>
      </w:r>
    </w:p>
    <w:p>
      <w:pPr>
        <w:pStyle w:val="Heading1"/>
      </w:pPr>
      <w:r>
        <w:t>3. Primary Ingredient Database Source — USDA, Filtered by Commercial Significance</w:t>
      </w:r>
    </w:p>
    <w:p>
      <w:r>
        <w:rPr>
          <w:b w:val="0"/>
          <w:i w:val="0"/>
        </w:rPr>
        <w:t>Schema sprint change. The primary ingredient database population method changes:</w:t>
      </w:r>
    </w:p>
    <w:p>
      <w:r>
        <w:rPr>
          <w:b/>
        </w:rPr>
        <w:t xml:space="preserve">From: </w:t>
      </w:r>
      <w:r>
        <w:t>Open Food Facts full database dump installed at app install.</w:t>
      </w:r>
    </w:p>
    <w:p>
      <w:r>
        <w:rPr>
          <w:b/>
        </w:rPr>
        <w:t xml:space="preserve">To: </w:t>
      </w:r>
      <w:r>
        <w:t>USDA SR Legacy + Foundation Foods datasets, filtered by commercial significance.</w:t>
      </w:r>
    </w:p>
    <w:p>
      <w:pPr>
        <w:pStyle w:val="ListBullet"/>
      </w:pPr>
      <w:r>
        <w:t>frequency_rank is populated from USDA appearance data — NOT Open Food Facts product count.</w:t>
      </w:r>
    </w:p>
    <w:p>
      <w:pPr>
        <w:pStyle w:val="ListBullet"/>
      </w:pPr>
      <w:r>
        <w:t>Primary / backup model: USDA is the PRIMARY source. A backup source is used only when (a) an ingredient cannot be defined from the primary source, or (b) the primary source is unreachable / under critical retrieval failure. At launch the backup is our own local database; Open Food Facts is the Phase 2 runtime backup layer.</w:t>
      </w:r>
    </w:p>
    <w:p>
      <w:r>
        <w:rPr>
          <w:b/>
        </w:rPr>
        <w:t xml:space="preserve">Applies to: </w:t>
      </w:r>
      <w:r>
        <w:t>v3.0 §2 (Offline Cache + Ingredient source lines), v3.0 §4 (Priority Cache frequency_rank), Ingredient Database note v2 (population method + frequency_rank).</w:t>
      </w:r>
    </w:p>
    <w:p>
      <w:r>
        <w:rPr>
          <w:b/>
          <w:i w:val="0"/>
        </w:rPr>
        <w:t>Runtime matching model — cost-minimised (budget-friendly operation):</w:t>
      </w:r>
    </w:p>
    <w:p>
      <w:pPr>
        <w:pStyle w:val="ListBullet"/>
      </w:pPr>
      <w:r>
        <w:t>PRIMARY at runtime is the ON-DEVICE database — the sub-grouped preference vocabulary downloaded after onboarding (Decision 6) plus the priority cache. The system filters scanned ingredients against this local vocabulary and flags matches entirely on-device — no server or API call.</w:t>
      </w:r>
    </w:p>
    <w:p>
      <w:pPr>
        <w:pStyle w:val="ListBullet"/>
      </w:pPr>
      <w:r>
        <w:t>Everything else — the broader USDA dataset, any remote lookup, and the Phase 2 Open Food Facts layer — is BACKUP, reached only on failure (ingredient cannot be defined locally, or the local path errors). Default path is zero-cost and offline; remote calls are the exception, not the rule.</w:t>
      </w:r>
    </w:p>
    <w:p>
      <w:pPr>
        <w:pStyle w:val="Heading1"/>
      </w:pPr>
      <w:r>
        <w:t>4. ODbL Attribution Metadata Table — Scope Narrowed</w:t>
      </w:r>
    </w:p>
    <w:p>
      <w:r>
        <w:rPr>
          <w:b w:val="0"/>
          <w:i w:val="0"/>
        </w:rPr>
        <w:t>Amends the ODbL Attribution Record specified in the Ingredient Database note v2.</w:t>
      </w:r>
    </w:p>
    <w:p>
      <w:pPr>
        <w:pStyle w:val="ListBullet"/>
      </w:pPr>
      <w:r>
        <w:t>The table now records these sources only: USDA, FDA, FARE, EXPERT_REVIEW.</w:t>
      </w:r>
    </w:p>
    <w:p>
      <w:pPr>
        <w:pStyle w:val="ListBullet"/>
      </w:pPr>
      <w:r>
        <w:t>The OPEN_FOOD_FACTS source tag is reserved for the Phase 2 runtime layer and is NEVER written to this table.</w:t>
      </w:r>
    </w:p>
    <w:p>
      <w:r>
        <w:rPr>
          <w:b/>
        </w:rPr>
        <w:t xml:space="preserve">Revised fields: </w:t>
      </w:r>
      <w:r>
        <w:t>entry_id, source (USDA / FDA / FARE / EXPERT_REVIEW), licence, attribution_text.</w:t>
      </w:r>
    </w:p>
    <w:p>
      <w:r>
        <w:rPr>
          <w:b w:val="0"/>
          <w:i w:val="0"/>
        </w:rPr>
        <w:t>Because no Open Food Facts data is merged into the launch database, the ODbL share-alike question (Legal §7) does not block the launch build; it must be resolved before the Phase 2 runtime layer is built.</w:t>
      </w:r>
    </w:p>
    <w:p>
      <w:pPr>
        <w:pStyle w:val="Heading1"/>
      </w:pPr>
      <w:r>
        <w:t>5. Family Linking by Email — Provider-Agnostic — Added to Product</w:t>
      </w:r>
    </w:p>
    <w:p>
      <w:r>
        <w:rPr>
          <w:b w:val="0"/>
          <w:i w:val="0"/>
        </w:rPr>
        <w:t>All family linking and invitation copy uses “email address,” provider-agnostic, instead of a single email provider name.</w:t>
      </w:r>
    </w:p>
    <w:p>
      <w:pPr>
        <w:pStyle w:val="ListBullet"/>
      </w:pPr>
      <w:r>
        <w:t>Linking and invitation match against the email identity silo: an entered email is normalized, converted to email_lookup_hmac with the KMS-held pepper, and compared to stored lookup HMACs. It therefore works only for already-registered accounts — state this plainly in the flow copy.</w:t>
      </w:r>
    </w:p>
    <w:p>
      <w:pPr>
        <w:pStyle w:val="ListBullet"/>
      </w:pPr>
      <w:r>
        <w:t>Methods remain: add by email address OR exact unique username — full exact match — no partial search.</w:t>
      </w:r>
    </w:p>
    <w:p>
      <w:pPr>
        <w:pStyle w:val="Heading1"/>
      </w:pPr>
      <w:r>
        <w:t>6. Build Database First — Sub-Grouped — Selective Device Download</w:t>
      </w:r>
    </w:p>
    <w:p>
      <w:r>
        <w:rPr>
          <w:b w:val="0"/>
          <w:i w:val="0"/>
        </w:rPr>
        <w:t>Construct the ingredient database first (reinforces Build Order Steps 1–3: schema, subscription, priority cache before feature code), and categorize it by SUB-GROUPING so all names, synonyms, and information for a given item compile together:</w:t>
      </w:r>
    </w:p>
    <w:p>
      <w:pPr>
        <w:pStyle w:val="ListBullet"/>
      </w:pPr>
      <w:r>
        <w:t>Top-level groups: Allergens; Intolerances; Dietary Preferences (Vegan, Vegetarian, Pescatarian, Keto, Mediterranean, Halal, Kosher); Nutritional &amp; Digestive Goals.</w:t>
      </w:r>
    </w:p>
    <w:p>
      <w:pPr>
        <w:pStyle w:val="ListBullet"/>
      </w:pPr>
      <w:r>
        <w:t>Selective download REPLACES the full database dump at install. After the user selects their preferences in onboarding, the app downloads ONLY the relevant sub-groups to the device, then builds the priority cache from them.</w:t>
      </w:r>
    </w:p>
    <w:p>
      <w:r>
        <w:rPr>
          <w:b/>
        </w:rPr>
        <w:t xml:space="preserve">Applies to: </w:t>
      </w:r>
      <w:r>
        <w:t>v3.0 §2 (Offline Cache), v3.0 §4 (Priority Cache build trigger), v3.0 §5 onboarding → cache hand-off, and the Ingredient Database note structure.</w:t>
      </w:r>
    </w:p>
    <w:p>
      <w:pPr>
        <w:pStyle w:val="Heading1"/>
      </w:pPr>
      <w:r>
        <w:t>7. V1 Paid — Negative-Rating Follow-Up — Tier Resolution</w:t>
      </w:r>
    </w:p>
    <w:p>
      <w:r>
        <w:rPr>
          <w:b w:val="0"/>
          <w:i w:val="0"/>
        </w:rPr>
        <w:t>Resolves the ambiguity in v3.0 §7.3 / §10.1, where V1 Paid listed “reaction logging prompts NOT included” but no follow-up behavior was defined. LOCKED:</w:t>
      </w:r>
    </w:p>
    <w:p>
      <w:pPr>
        <w:pStyle w:val="ListBullet"/>
      </w:pPr>
      <w:r>
        <w:t>Free tier: 1 empathetic follow-up question on negative ratings.</w:t>
      </w:r>
    </w:p>
    <w:p>
      <w:pPr>
        <w:pStyle w:val="ListBullet"/>
      </w:pPr>
      <w:r>
        <w:t>V1 Paid: 2-round empathetic follow-up PLUS an optional free-text “add a note” capture. No structured reaction-pattern logging and no pattern charts.</w:t>
      </w:r>
    </w:p>
    <w:p>
      <w:pPr>
        <w:pStyle w:val="ListBullet"/>
      </w:pPr>
      <w:r>
        <w:t>V2 Paid: full 2–3 round prompt chain + reaction-pattern logging + pattern recognition charts + data export (unchanged).</w:t>
      </w:r>
    </w:p>
    <w:p>
      <w:r>
        <w:rPr>
          <w:b/>
          <w:i w:val="0"/>
        </w:rPr>
        <w:t>Copy guardrail (LOCKED):</w:t>
      </w:r>
    </w:p>
    <w:p>
      <w:r>
        <w:rPr>
          <w:b w:val="0"/>
          <w:i w:val="0"/>
        </w:rPr>
        <w:t>Tier gating is communicated only as “more depth available,” never as withholding care. No copy in the rating or follow-up flow may imply a free or V1 user is worth less or is being degraded. Every user is acknowledged warmly first; the upgrade path is offered without value judgment. Reinforces the Content Library observational-voice and humor-prohibited standards on health-critical screens.</w:t>
      </w:r>
    </w:p>
    <w:p>
      <w:r>
        <w:rPr>
          <w:b w:val="0"/>
          <w:i/>
        </w:rPr>
        <w:t>Rationale: paid is tangibly more than free (extra round + note capture), V2 differentiation is preserved (full chain, pattern recognition, export), and no tier is made to feel lesser.</w:t>
      </w:r>
    </w:p>
    <w:p>
      <w:pPr>
        <w:pStyle w:val="Heading1"/>
      </w:pPr>
      <w:r>
        <w:t>8. Engagement &amp; Conversion — LOCKED</w:t>
      </w:r>
    </w:p>
    <w:p>
      <w:r>
        <w:rPr>
          <w:b w:val="0"/>
          <w:i w:val="0"/>
        </w:rPr>
        <w:t>Resolves the open items raised against Decision 7. Three changes, all pre-written / on-device — no generative AI, no server or API cost (budget-friendly).</w:t>
      </w:r>
    </w:p>
    <w:p>
      <w:r>
        <w:rPr>
          <w:b/>
          <w:i w:val="0"/>
        </w:rPr>
        <w:t>8.1 Trial length — resolve to 14 days</w:t>
      </w:r>
    </w:p>
    <w:p>
      <w:pPr>
        <w:pStyle w:val="ListBullet"/>
      </w:pPr>
      <w:r>
        <w:t>The trial is 14 days (full V1, 40-scan cap, no card), aligning it with the existing “daily micro-tips first 14 days” free-tier line. All copy references one number: 14 days.</w:t>
      </w:r>
    </w:p>
    <w:p>
      <w:r>
        <w:rPr>
          <w:b/>
          <w:i w:val="0"/>
        </w:rPr>
        <w:t>8.2 Free tier — fix the unlock + always-on value counter</w:t>
      </w:r>
    </w:p>
    <w:p>
      <w:pPr>
        <w:pStyle w:val="ListBullet"/>
      </w:pPr>
      <w:r>
        <w:t>Ingredient frequency list now unlocks at 6 scans (cumulative), so a free user (10 scans/month) actually reaches their headline feature in month 1. This supersedes the older Pattern Charts unlock threshold. Free monthly cap stays at 10 — larger paid scan caps (V1 40 / V2 60) + pattern recognition remain the reasons to pay.</w:t>
      </w:r>
    </w:p>
    <w:p>
      <w:pPr>
        <w:pStyle w:val="ListBullet"/>
      </w:pPr>
      <w:r>
        <w:t>Always-on value counter, all tiers from the first scan: a cumulative “labels read for you / estimated minutes saved” display. Observational and mirror-principle-safe (it reflects the user’s own activity — no verdict, no advice).</w:t>
      </w:r>
    </w:p>
    <w:p>
      <w:pPr>
        <w:pStyle w:val="ListBullet"/>
      </w:pPr>
      <w:r>
        <w:t>Free-tier streak bonus: maintaining a scan streak earns 1–2 extra scans on top of the 10/month cap. Deliberately small — it rewards the habit and gives a taste of “more,” while larger paid scan caps stay a reason to upgrade. This extends the streak mechanic (listed for V1 Paid in v3.0 §10.1) to the free tier in this limited, bonus-only form. No rollover of unused bonus.</w:t>
      </w:r>
    </w:p>
    <w:p>
      <w:r>
        <w:rPr>
          <w:b/>
          <w:i w:val="0"/>
        </w:rPr>
        <w:t>8.3 Trial value-teaser — prove value now, preview the long game</w:t>
      </w:r>
    </w:p>
    <w:p>
      <w:pPr>
        <w:pStyle w:val="ListBullet"/>
      </w:pPr>
      <w:r>
        <w:t>From scan 1 the trial surfaces the value counter (8.2). Around the mid-trial point it shows a LOCKED V2 pattern-chart teaser seeded with the user’s OWN scan data — e.g. “In 30 days we’ll show which ingredients show up most across your scans” — with an “Unlock with Paid” CTA.</w:t>
      </w:r>
    </w:p>
    <w:p>
      <w:pPr>
        <w:pStyle w:val="ListBullet"/>
      </w:pPr>
      <w:r>
        <w:t>The teaser shows the user’s own frequency data only — never a verdict, grade, or advice. It follows the amber-equals-finding convention and the observational voice. No new color semantics.</w:t>
      </w:r>
    </w:p>
    <w:p>
      <w:r>
        <w:rPr>
          <w:b/>
          <w:i w:val="0"/>
          <w:color w:val="B00000"/>
        </w:rPr>
        <w:t>ATTORNEY note:</w:t>
      </w:r>
    </w:p>
    <w:p>
      <w:r>
        <w:rPr>
          <w:b w:val="0"/>
          <w:i w:val="0"/>
          <w:color w:val="B00000"/>
        </w:rPr>
        <w:t>The “minutes saved” figure relies on the “saves 3–4 minutes” efficacy claim, which Legal §8 requires to be defensible or removed. Either substantiate the per-label time basis, or frame the counter on the factual count (“labels read for you”) with time shown as an explicit estimate. Attorney to confirm.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