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77777777"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symulacji</w:t>
      </w:r>
      <w:r>
        <w:rPr>
          <w:rFonts w:ascii="Times New Roman" w:hAnsi="Times New Roman" w:cs="Times New Roman"/>
          <w:sz w:val="24"/>
          <w:szCs w:val="24"/>
        </w:rPr>
        <w:t xml:space="preserve"> ruchu</w:t>
      </w:r>
    </w:p>
    <w:p w14:paraId="2F173CFE" w14:textId="77777777"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 i 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77777777" w:rsidR="0053093F" w:rsidRDefault="0053093F"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77777777" w:rsidR="005A297C" w:rsidRPr="001B4A25"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dynamiczna</w:t>
      </w:r>
      <w:bookmarkStart w:id="0" w:name="_GoBack"/>
      <w:bookmarkEnd w:id="0"/>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B2E966E" w14:textId="77777777"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454DE81B"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Algorytm sterowania</w:t>
      </w:r>
    </w:p>
    <w:p w14:paraId="58CE2E3F"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Tor pomiarowy</w:t>
      </w:r>
    </w:p>
    <w:p w14:paraId="78D109F0" w14:textId="77777777"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 i 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77777777"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 w przestrzeni wirtualnej</w:t>
      </w:r>
      <w:r w:rsidR="006F4A9C">
        <w:rPr>
          <w:rFonts w:ascii="Times New Roman" w:hAnsi="Times New Roman" w:cs="Times New Roman"/>
          <w:sz w:val="24"/>
          <w:szCs w:val="24"/>
        </w:rPr>
        <w:t>, poprzez odpowiednie poruszanie fotelem z 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 oleju, co w pomieszczeniu użytkowym jest nie do przyjęcia.</w:t>
      </w:r>
    </w:p>
    <w:p w14:paraId="0B0E64C8" w14:textId="77777777" w:rsidR="002716C4" w:rsidRPr="002716C4" w:rsidRDefault="002716C4" w:rsidP="002716C4">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77777777" w:rsidR="00AA2CBC" w:rsidRPr="002716C4" w:rsidRDefault="00511498"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Pobyt człowieka w przestrzeni wirtualnej</w:t>
      </w:r>
      <w:r w:rsidR="00392A4A">
        <w:rPr>
          <w:rFonts w:ascii="Times New Roman" w:hAnsi="Times New Roman" w:cs="Times New Roman"/>
          <w:sz w:val="24"/>
          <w:szCs w:val="24"/>
        </w:rPr>
        <w:t xml:space="preserve"> (VR) </w:t>
      </w:r>
      <w:r w:rsidRPr="002716C4">
        <w:rPr>
          <w:rFonts w:ascii="Times New Roman" w:hAnsi="Times New Roman" w:cs="Times New Roman"/>
          <w:sz w:val="24"/>
          <w:szCs w:val="24"/>
        </w:rPr>
        <w:t xml:space="preserve">, </w:t>
      </w:r>
      <w:r w:rsidR="0006433C" w:rsidRPr="002716C4">
        <w:rPr>
          <w:rFonts w:ascii="Times New Roman" w:hAnsi="Times New Roman" w:cs="Times New Roman"/>
          <w:sz w:val="24"/>
          <w:szCs w:val="24"/>
        </w:rPr>
        <w:t xml:space="preserve">wiąże się z podaniem mu wygenerowanych komputerowo bodźców wzrokowych i słuchowych. </w:t>
      </w:r>
      <w:r w:rsidR="00142E99" w:rsidRPr="002716C4">
        <w:rPr>
          <w:rFonts w:ascii="Times New Roman" w:hAnsi="Times New Roman" w:cs="Times New Roman"/>
          <w:sz w:val="24"/>
          <w:szCs w:val="24"/>
        </w:rPr>
        <w:t>Obraz podawany jest stereoskopowo, tzn. na każde oko wyświetlany jest obraz z innej perspektywy imitującej rozstaw oczu.</w:t>
      </w:r>
      <w:r w:rsidR="00EC74A7" w:rsidRPr="002716C4">
        <w:rPr>
          <w:rFonts w:ascii="Times New Roman" w:hAnsi="Times New Roman" w:cs="Times New Roman"/>
          <w:sz w:val="24"/>
          <w:szCs w:val="24"/>
        </w:rPr>
        <w:t xml:space="preserve"> Na każde oko przypada soczewka odpowiednio rzutująca obraz z prostokątnego monitora mając na celu zarówno zmniejszenie wymiarów gogli pozwalając na bliższe przystawienie ekranu do twarzy oraz</w:t>
      </w:r>
      <w:r w:rsidR="00AA2CBC" w:rsidRPr="002716C4">
        <w:rPr>
          <w:rFonts w:ascii="Times New Roman" w:hAnsi="Times New Roman" w:cs="Times New Roman"/>
          <w:sz w:val="24"/>
          <w:szCs w:val="24"/>
        </w:rPr>
        <w:t xml:space="preserve"> podania obrazu z szerszego kąta, by jak najlepiej oddać rzeczywistość (kąt widzenia człowieka mieści się w okolicy 120 stopni)</w:t>
      </w:r>
      <w:r w:rsidR="00EC74A7" w:rsidRPr="002716C4">
        <w:rPr>
          <w:rFonts w:ascii="Times New Roman" w:hAnsi="Times New Roman" w:cs="Times New Roman"/>
          <w:sz w:val="24"/>
          <w:szCs w:val="24"/>
        </w:rPr>
        <w:t>.</w:t>
      </w:r>
      <w:r w:rsidR="00AA2CBC" w:rsidRPr="002716C4">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799AFD05">
            <wp:extent cx="4067175" cy="228778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7945" cy="2293844"/>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77777777"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Stereoskopia pozwala na uzyskanie wrażenia widzenia w trójwymiarze czyli na rozróżnienie głębi w scenie. Obraz jest także sprzężony z rotacją głowy w taki sposób, że obracając głowę widzimy przesuwający się krajobraz tworząc wrażenie rozglądania się. Niektóre systemy pozwalają na śledzenie także pozycji głowy przesuwając </w:t>
      </w:r>
      <w:r w:rsidR="005E0209">
        <w:rPr>
          <w:rFonts w:ascii="Times New Roman" w:hAnsi="Times New Roman" w:cs="Times New Roman"/>
          <w:sz w:val="24"/>
          <w:szCs w:val="24"/>
        </w:rPr>
        <w:t>przeciwnie do ruchu krajobraz, w efekcie pozwalając na przemieszczanie się po pokoju i zmianę głębi sceny. Klasa sprzętu bardzo mocno wpływa na jakość</w:t>
      </w:r>
      <w:r>
        <w:rPr>
          <w:rFonts w:ascii="Times New Roman" w:hAnsi="Times New Roman" w:cs="Times New Roman"/>
          <w:sz w:val="24"/>
          <w:szCs w:val="24"/>
        </w:rPr>
        <w:t xml:space="preserve"> bodźców </w:t>
      </w:r>
      <w:r w:rsidR="005E0209">
        <w:rPr>
          <w:rFonts w:ascii="Times New Roman" w:hAnsi="Times New Roman" w:cs="Times New Roman"/>
          <w:sz w:val="24"/>
          <w:szCs w:val="24"/>
        </w:rPr>
        <w:t xml:space="preserve">i w efekcie </w:t>
      </w:r>
      <w:r>
        <w:rPr>
          <w:rFonts w:ascii="Times New Roman" w:hAnsi="Times New Roman" w:cs="Times New Roman"/>
          <w:sz w:val="24"/>
          <w:szCs w:val="24"/>
        </w:rPr>
        <w:t xml:space="preserve">na poziom immersji użytkownika, czyli poczucia obecności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 xml:space="preserve">Zależnie od transformacji głowy w przestrzeni, dźwięk generowany jest z innym natężeniem do poszczególnych uszu, wpływając pozytywnie na odczucie przestrzeni. </w:t>
      </w:r>
      <w:r>
        <w:rPr>
          <w:rFonts w:ascii="Times New Roman" w:hAnsi="Times New Roman" w:cs="Times New Roman"/>
          <w:sz w:val="24"/>
          <w:szCs w:val="24"/>
        </w:rPr>
        <w:t xml:space="preserve">Jednak w momencie gdy osoba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mózgu dochodzą sprzeczne bodźce, wzrokowe i motoryczne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77777777" w:rsidR="0018393A" w:rsidRDefault="00EC74A7" w:rsidP="00981FA0">
      <w:pPr>
        <w:ind w:firstLine="708"/>
        <w:jc w:val="both"/>
        <w:rPr>
          <w:rFonts w:ascii="Times New Roman" w:hAnsi="Times New Roman" w:cs="Times New Roman"/>
          <w:sz w:val="24"/>
          <w:szCs w:val="24"/>
        </w:rPr>
      </w:pPr>
      <w:r>
        <w:rPr>
          <w:rFonts w:ascii="Times New Roman" w:hAnsi="Times New Roman" w:cs="Times New Roman"/>
          <w:sz w:val="24"/>
          <w:szCs w:val="24"/>
        </w:rPr>
        <w:t>Niezależnie od poziomu immersji użytkownika ni</w:t>
      </w:r>
      <w:r w:rsidR="00392A4A">
        <w:rPr>
          <w:rFonts w:ascii="Times New Roman" w:hAnsi="Times New Roman" w:cs="Times New Roman"/>
          <w:sz w:val="24"/>
          <w:szCs w:val="24"/>
        </w:rPr>
        <w:t>emożliwe jest wytworzenie</w:t>
      </w:r>
      <w:r>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Pr>
          <w:rFonts w:ascii="Times New Roman" w:hAnsi="Times New Roman" w:cs="Times New Roman"/>
          <w:sz w:val="24"/>
          <w:szCs w:val="24"/>
        </w:rPr>
        <w:t xml:space="preserve"> poczucia ruchu. Z tego powodu na rynku zaczęły pojawiać się symulatory </w:t>
      </w:r>
      <w:r w:rsidR="00392A4A">
        <w:rPr>
          <w:rFonts w:ascii="Times New Roman" w:hAnsi="Times New Roman" w:cs="Times New Roman"/>
          <w:sz w:val="24"/>
          <w:szCs w:val="24"/>
        </w:rPr>
        <w:t xml:space="preserve">do </w:t>
      </w:r>
      <w:r>
        <w:rPr>
          <w:rFonts w:ascii="Times New Roman" w:hAnsi="Times New Roman" w:cs="Times New Roman"/>
          <w:sz w:val="24"/>
          <w:szCs w:val="24"/>
        </w:rPr>
        <w:t xml:space="preserve">przestrzeni wirtualnej. Zależnie od aplikacji puszczanej na goglach </w:t>
      </w:r>
      <w:r w:rsidR="00363630">
        <w:rPr>
          <w:rFonts w:ascii="Times New Roman" w:hAnsi="Times New Roman" w:cs="Times New Roman"/>
          <w:sz w:val="24"/>
          <w:szCs w:val="24"/>
        </w:rPr>
        <w:t>użytkownik może być przemieszczany we wszystkich kierunkach w nieograniczonych zakresach. Wykonanie maszyny pozwalającej na ten poziom symulacji 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xml:space="preserve">, właśnie ze względu na nieoznaczoność ruchów do symulacji. W przeciwieństwie do symulacji koparki, czy samolotu gdzie przyspieszenia, prędkości i przemieszczenia są znane, w przestrzeni wirtualnej jedynym ograniczeniem ruchu jest przeznaczenie aplikacji i wyobraźnia jej twórcy. Nic nie stoi na przeszkodzie by w aplikacji latać w przestrzeni kosmicznej we wszystkich kierunkach, gubiąc całkowicie poczucie poziomu i pionu. Podczas projektowania symulatora trzeba więc pójść na kompromis i ograniczyć osiągi </w:t>
      </w:r>
      <w:r w:rsidR="00D36A6B">
        <w:rPr>
          <w:rFonts w:ascii="Times New Roman" w:hAnsi="Times New Roman" w:cs="Times New Roman"/>
          <w:sz w:val="24"/>
          <w:szCs w:val="24"/>
        </w:rPr>
        <w:t>maszyny. Pozbycia się tych ograniczeń można szukać w psychologii percepcji – nauki zajmującej się procesami poznawczymi człowieka, w tym także i w odbieraniu prędkości i przyspieszenia. Do dziś przeprowadzona została duża ilość eksperymentów, mająca na celu oszukanie zmysłów ludzkich i 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 w 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 xml:space="preserve">Jednym z nich jest eksperyment przeprowadzony w instytucie M. Plancka w Berlinie [1], gdzie </w:t>
      </w:r>
      <w:r w:rsidR="001A7EF4">
        <w:rPr>
          <w:rFonts w:ascii="Times New Roman" w:hAnsi="Times New Roman" w:cs="Times New Roman"/>
          <w:sz w:val="24"/>
          <w:szCs w:val="24"/>
        </w:rPr>
        <w:t xml:space="preserve">sprawdzane były odczucia przy symulowaniu ruchu na dwa różne sposoby, poprzez pochylanie osoby do wewnątrz skrętu lub na zewnątrz. Odchył pacjenta na zewnątrz symuluje siłę odśrodkową, wpływając pozytywnie na realistyczność ruchu, z kolei 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 xml:space="preserve">zminimalizowanie występowania choroby lokomocyjnej i odczucia przyjemności z 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77777777"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 docierających do mózgu bodźców, na informację o położeniu, orientacji i ruchu głowy składają się dane pochodzące z oczu i narządu przedsionkowego</w:t>
      </w:r>
      <w:r w:rsidR="00AD0C6B">
        <w:rPr>
          <w:rFonts w:ascii="Times New Roman" w:hAnsi="Times New Roman" w:cs="Times New Roman"/>
          <w:sz w:val="24"/>
          <w:szCs w:val="24"/>
        </w:rPr>
        <w:t xml:space="preserve"> (NP) znajdującego się w 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 z narządów pozwalających na identyfikację przyspieszenia liniowego – łagiewka i woreczek oraz kątowego – kanały półkoliste (rys 1.3)</w:t>
      </w:r>
      <w:r w:rsidR="00EB779E">
        <w:rPr>
          <w:rFonts w:ascii="Times New Roman" w:hAnsi="Times New Roman" w:cs="Times New Roman"/>
          <w:sz w:val="24"/>
          <w:szCs w:val="24"/>
        </w:rPr>
        <w:t xml:space="preserve">. Bezwładność płynu znajdującego się wewnątrz kanałów półkolistych sprawia, że przy obrocie głowy rzęski 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 z łagiewki i woreczka rejestrujących przyspieszenie w prostopadłych do siebie płaszczyznach, dostarczając do mózgu dane o przyspieszeniu liniowym. Informacje wychodzące z narządu otolitowego są sumą przyspieszenia liniowego działającego na głowę oraz grawitacji, co pozwala przy symulacji na dodatkowy mechanizm oszukiwania człowieka (rozdz. 1.4).</w:t>
      </w:r>
      <w:r w:rsidR="00CB6D8A">
        <w:rPr>
          <w:rFonts w:ascii="Times New Roman" w:hAnsi="Times New Roman" w:cs="Times New Roman"/>
          <w:sz w:val="24"/>
          <w:szCs w:val="24"/>
        </w:rPr>
        <w:t xml:space="preserve"> Z budowy NP wynika, że </w:t>
      </w:r>
      <w:r w:rsidR="003928E1">
        <w:rPr>
          <w:rFonts w:ascii="Times New Roman" w:hAnsi="Times New Roman" w:cs="Times New Roman"/>
          <w:sz w:val="24"/>
          <w:szCs w:val="24"/>
        </w:rPr>
        <w:t xml:space="preserve">nie jest w stanie dostarczać danych o stałej prędkości. </w:t>
      </w:r>
      <w:r w:rsidR="003928E1">
        <w:rPr>
          <w:rFonts w:ascii="Times New Roman" w:hAnsi="Times New Roman" w:cs="Times New Roman"/>
          <w:sz w:val="24"/>
          <w:szCs w:val="24"/>
        </w:rPr>
        <w:lastRenderedPageBreak/>
        <w:t xml:space="preserve">Informację o tym człowiek czerpie jedynie ze wzroku, oznacza to więc, że poruszanie się ze stałą prędkością w VR nie powoduje choroby symulatorowej i nie wymaga symulacji ruchem. Bardzo ważnym aspektem przy symulacji ruchu, jest znajomość wartości 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7777777"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stymulacji nar</w:t>
      </w:r>
      <w:r w:rsidR="00495FFC">
        <w:rPr>
          <w:rFonts w:ascii="Times New Roman" w:hAnsi="Times New Roman" w:cs="Times New Roman"/>
          <w:sz w:val="24"/>
          <w:szCs w:val="24"/>
        </w:rPr>
        <w:t xml:space="preserve">ządu, czyli wartości przyspieszeń, których narząd nie rejestruje, mogące się jednak </w:t>
      </w:r>
      <w:r>
        <w:rPr>
          <w:rFonts w:ascii="Times New Roman" w:hAnsi="Times New Roman" w:cs="Times New Roman"/>
          <w:sz w:val="24"/>
          <w:szCs w:val="24"/>
        </w:rPr>
        <w:t xml:space="preserve">różnić się w zależności od osoby i warunków przeprowadzanych badań. </w:t>
      </w:r>
      <w:r w:rsidR="00495FFC">
        <w:rPr>
          <w:rFonts w:ascii="Times New Roman" w:hAnsi="Times New Roman" w:cs="Times New Roman"/>
          <w:sz w:val="24"/>
          <w:szCs w:val="24"/>
        </w:rPr>
        <w:t>Przykładowymi wartościami progowymi 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osi 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osi y i x. (osie oznaczone na rys. 1.4). Również przy przyspieszeniach liniowych wartości progowe różnią się w zależności 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 także przez ucisk na powierzchni skóry. Systemy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Rys. 1.4 układ odniesienia głowy</w:t>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77777777"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lastRenderedPageBreak/>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symulacji</w:t>
      </w:r>
      <w:r w:rsidR="00710C0B">
        <w:rPr>
          <w:rFonts w:ascii="Times New Roman" w:hAnsi="Times New Roman" w:cs="Times New Roman"/>
          <w:b/>
          <w:sz w:val="24"/>
          <w:szCs w:val="24"/>
        </w:rPr>
        <w:t xml:space="preserve"> ruchu</w:t>
      </w:r>
    </w:p>
    <w:p w14:paraId="7ED30A8F" w14:textId="77777777" w:rsidR="003928E1" w:rsidRDefault="003928E1" w:rsidP="0046530B">
      <w:pPr>
        <w:jc w:val="both"/>
        <w:rPr>
          <w:rFonts w:ascii="Times New Roman" w:hAnsi="Times New Roman" w:cs="Times New Roman"/>
          <w:sz w:val="24"/>
          <w:szCs w:val="24"/>
        </w:rPr>
      </w:pPr>
      <w:r>
        <w:rPr>
          <w:rFonts w:ascii="Times New Roman" w:hAnsi="Times New Roman" w:cs="Times New Roman"/>
          <w:sz w:val="24"/>
          <w:szCs w:val="24"/>
        </w:rPr>
        <w:t xml:space="preserve">Zgodnie z poprzednim podrozdziałem, z ruchu człowiek jest w stanie pozyskać jedynie informacje o przyspieszeniu, cała symulacja więc opierać się będzie na </w:t>
      </w:r>
      <w:r w:rsidR="002C464C">
        <w:rPr>
          <w:rFonts w:ascii="Times New Roman" w:hAnsi="Times New Roman" w:cs="Times New Roman"/>
          <w:sz w:val="24"/>
          <w:szCs w:val="24"/>
        </w:rPr>
        <w:t xml:space="preserve">sterowaniu </w:t>
      </w:r>
      <w:r>
        <w:rPr>
          <w:rFonts w:ascii="Times New Roman" w:hAnsi="Times New Roman" w:cs="Times New Roman"/>
          <w:sz w:val="24"/>
          <w:szCs w:val="24"/>
        </w:rPr>
        <w:t>przyspieszeni</w:t>
      </w:r>
      <w:r w:rsidR="002C464C">
        <w:rPr>
          <w:rFonts w:ascii="Times New Roman" w:hAnsi="Times New Roman" w:cs="Times New Roman"/>
          <w:sz w:val="24"/>
          <w:szCs w:val="24"/>
        </w:rPr>
        <w:t>em</w:t>
      </w:r>
      <w:r>
        <w:rPr>
          <w:rFonts w:ascii="Times New Roman" w:hAnsi="Times New Roman" w:cs="Times New Roman"/>
          <w:sz w:val="24"/>
          <w:szCs w:val="24"/>
        </w:rPr>
        <w:t>.</w:t>
      </w:r>
      <w:r w:rsidR="00145D7F">
        <w:rPr>
          <w:rFonts w:ascii="Times New Roman" w:hAnsi="Times New Roman" w:cs="Times New Roman"/>
          <w:sz w:val="24"/>
          <w:szCs w:val="24"/>
        </w:rPr>
        <w:t xml:space="preserve"> </w:t>
      </w:r>
      <w:r w:rsidR="00981FA0">
        <w:rPr>
          <w:rFonts w:ascii="Times New Roman" w:hAnsi="Times New Roman" w:cs="Times New Roman"/>
          <w:sz w:val="24"/>
          <w:szCs w:val="24"/>
        </w:rPr>
        <w:t>W związku z ograniczeniami opisanymi w rozdz. 1.2 w celu oszukania zmysłów użytkownika powstały następujące metody:</w:t>
      </w:r>
    </w:p>
    <w:p w14:paraId="014908E3" w14:textId="77777777"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 xml:space="preserve">granicy wykrycia ruchu – w sytuacji gdy aplikacja wymaga sporego całkowitego zakresu w danej płaszczyźnie (np. w poziomie) i pomiędzy ruchami są przerwy, można, bez zaburzenia immersji, przesuwać użytkownika z powrotem na środek przestrzeni roboczej symulatora. Powrót gwarantuje ponowną możliwość symulacji ruchu w tę samą stronę, co z perspektywy człowieka wydaje się przesunięciem </w:t>
      </w:r>
      <w:r w:rsidR="00E76AF8">
        <w:rPr>
          <w:rFonts w:ascii="Times New Roman" w:hAnsi="Times New Roman" w:cs="Times New Roman"/>
          <w:sz w:val="24"/>
          <w:szCs w:val="24"/>
        </w:rPr>
        <w:t xml:space="preserve">tylko </w:t>
      </w:r>
      <w:r w:rsidR="00192175">
        <w:rPr>
          <w:rFonts w:ascii="Times New Roman" w:hAnsi="Times New Roman" w:cs="Times New Roman"/>
          <w:sz w:val="24"/>
          <w:szCs w:val="24"/>
        </w:rPr>
        <w:t>w jedną stronę.</w:t>
      </w:r>
    </w:p>
    <w:p w14:paraId="69E6A688" w14:textId="7777777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Wykorzystanie przyspieszenia ziemskiego jako przyspieszenia liniowego – obracając użytkownika plecami w stronę ziemi, można osiągnąć odczucie stałego przyspieszenia. </w:t>
      </w:r>
      <w:r w:rsidR="00635F41">
        <w:rPr>
          <w:rFonts w:ascii="Times New Roman" w:hAnsi="Times New Roman" w:cs="Times New Roman"/>
          <w:sz w:val="24"/>
          <w:szCs w:val="24"/>
        </w:rPr>
        <w:t>Sposób ten wykorzystuje to, że z narządów otolitowych człowiek uzyskuje informację tylko o wypadkowym przyspieszeniu.</w:t>
      </w:r>
    </w:p>
    <w:p w14:paraId="508FA6D8" w14:textId="77777777"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Ukrywanie ruchów poprzez wibracje – </w:t>
      </w:r>
      <w:r w:rsidR="000C37B2">
        <w:rPr>
          <w:rFonts w:ascii="Times New Roman" w:hAnsi="Times New Roman" w:cs="Times New Roman"/>
          <w:sz w:val="24"/>
          <w:szCs w:val="24"/>
        </w:rPr>
        <w:t>`</w:t>
      </w:r>
      <w:r w:rsidR="00E974BF">
        <w:rPr>
          <w:rFonts w:ascii="Times New Roman" w:hAnsi="Times New Roman" w:cs="Times New Roman"/>
          <w:sz w:val="24"/>
          <w:szCs w:val="24"/>
        </w:rPr>
        <w:t xml:space="preserve"> angażujące bodźce, możemy sprawić, że spadnie dokładność rejestrowania przyspieszenia.</w:t>
      </w:r>
    </w:p>
    <w:p w14:paraId="32007FF1" w14:textId="77777777"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 i techniki</w:t>
      </w:r>
      <w:r>
        <w:t xml:space="preserve"> </w:t>
      </w:r>
    </w:p>
    <w:p w14:paraId="5839015D" w14:textId="77777777"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 xml:space="preserve">Platforma Stewarta została po raz pierwszy użyta w 1954 r. w Anglii i od tamtego czasu ewoluowała, przyjmując aktualnie postać mechanizmu z sześcioma elementami wykonawczymi. Platforma Stewarda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siłowniki elektryczne, pneumatyczne i hydrauliczne, ich wysuw powoduje pozycjonowanie platformy. Innym elementem wykonawczym może być serwonapęd. W każdym łańcuchu kinematycznym występuje wtedy jedno dodatkowe ogniwo z parą kinematyczną drugiej klasy, mające na celu zamianę ruchu obrotowego serwonapędu na ruch postępowy, przykładowy mechanizm widoczny na rys. 1.5.</w:t>
      </w:r>
    </w:p>
    <w:p w14:paraId="1DF62B32" w14:textId="77777777"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 xml:space="preserve">Rys. 1.5 mechanizm wykorzystujący dodatkowe ogniwo i serwonapędy. [W3] </w:t>
      </w:r>
      <w:r w:rsidRPr="000C37B2">
        <w:rPr>
          <w:rFonts w:ascii="Times New Roman" w:hAnsi="Times New Roman" w:cs="Times New Roman"/>
          <w:sz w:val="24"/>
          <w:szCs w:val="24"/>
        </w:rPr>
        <w:br/>
      </w:r>
    </w:p>
    <w:p w14:paraId="07E3F1E9" w14:textId="77777777"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 xml:space="preserve">Różne napędy i </w:t>
      </w:r>
      <w:r w:rsidR="00A91DDC" w:rsidRPr="000C37B2">
        <w:rPr>
          <w:rFonts w:ascii="Times New Roman" w:hAnsi="Times New Roman" w:cs="Times New Roman"/>
          <w:sz w:val="24"/>
          <w:szCs w:val="24"/>
        </w:rPr>
        <w:t>media</w:t>
      </w:r>
      <w:r w:rsidRPr="000C37B2">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stosowane jest ze względu na indywidualne potrzeby mechanizmów, np. serwonapędy są bardzo często używane w rozwiązaniach niskobudżetowych,</w:t>
      </w:r>
      <w:r w:rsidR="00A91DDC" w:rsidRPr="000C37B2">
        <w:rPr>
          <w:rFonts w:ascii="Times New Roman" w:hAnsi="Times New Roman" w:cs="Times New Roman"/>
          <w:sz w:val="24"/>
          <w:szCs w:val="24"/>
        </w:rPr>
        <w:br/>
      </w:r>
      <w:r w:rsidRPr="000C37B2">
        <w:rPr>
          <w:rFonts w:ascii="Times New Roman" w:hAnsi="Times New Roman" w:cs="Times New Roman"/>
          <w:sz w:val="24"/>
          <w:szCs w:val="24"/>
        </w:rPr>
        <w:t>a hydraulika przy dużych obciążeniach. Platforma Stewarta jako manipulator szeregowy jest szeroko wykorzystywana w wielu branżach. Możliwymi zastosowaniami są:</w:t>
      </w:r>
    </w:p>
    <w:p w14:paraId="4EC43BD4" w14:textId="77777777"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lastRenderedPageBreak/>
        <w:t xml:space="preserve">Wszelkiego rodzaju </w:t>
      </w:r>
      <w:r w:rsidR="00A91DDC" w:rsidRPr="000C37B2">
        <w:rPr>
          <w:rFonts w:ascii="Times New Roman" w:hAnsi="Times New Roman" w:cs="Times New Roman"/>
          <w:sz w:val="24"/>
          <w:szCs w:val="24"/>
        </w:rPr>
        <w:t>symulatory</w:t>
      </w:r>
      <w:r w:rsidRPr="000C37B2">
        <w:rPr>
          <w:rFonts w:ascii="Times New Roman" w:hAnsi="Times New Roman" w:cs="Times New Roman"/>
          <w:sz w:val="24"/>
          <w:szCs w:val="24"/>
        </w:rPr>
        <w:t xml:space="preserve">, od koparek po samoloty. Mechanizm pozycjonując platformę z odpowiednimi prędkościami i przyspieszeniami platformę, zapewnia odwzorowanie ruchu kabiny. </w:t>
      </w:r>
      <w:r w:rsidR="00C61B57" w:rsidRPr="000C37B2">
        <w:rPr>
          <w:rFonts w:ascii="Times New Roman" w:hAnsi="Times New Roman" w:cs="Times New Roman"/>
          <w:sz w:val="24"/>
          <w:szCs w:val="24"/>
        </w:rPr>
        <w:t xml:space="preserve">Widoczny na rys. 1.6 symulator lotniczy, napędzany jest siłownikami 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77777777"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 xml:space="preserve">(rys. 1.7) </w:t>
      </w:r>
      <w:r w:rsidRPr="000C37B2">
        <w:rPr>
          <w:rFonts w:ascii="Times New Roman" w:hAnsi="Times New Roman" w:cs="Times New Roman"/>
          <w:sz w:val="24"/>
          <w:szCs w:val="24"/>
        </w:rPr>
        <w:t>w teleskopie ALMA. Odporna na warunki 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77777777"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 w teleskopie ALMA [W5]</w:t>
      </w:r>
    </w:p>
    <w:p w14:paraId="1F0D9D75" w14:textId="77777777"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 zębnych – rozwiązanie</w:t>
      </w:r>
      <w:r w:rsidR="0023660E" w:rsidRPr="000C37B2">
        <w:rPr>
          <w:rFonts w:ascii="Times New Roman" w:hAnsi="Times New Roman" w:cs="Times New Roman"/>
          <w:sz w:val="24"/>
          <w:szCs w:val="24"/>
        </w:rPr>
        <w:t xml:space="preserve"> opracowane przez uniwersytet w </w:t>
      </w:r>
      <w:r w:rsidR="002C464C" w:rsidRPr="000C37B2">
        <w:rPr>
          <w:rFonts w:ascii="Times New Roman" w:hAnsi="Times New Roman" w:cs="Times New Roman"/>
          <w:sz w:val="24"/>
          <w:szCs w:val="24"/>
        </w:rPr>
        <w:t>Bonn. Mechanizm ze względu na wysoką sztywność jest w stanie zasymulować obciążenia i przemieszczenia implantu występujące w każdej sytuacji, od żucia, czyli dużych sił i 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77777777"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 w UHV (ultra high vacuum). Praca w próżni stawia wymagania przed elementami wykonawczym i ze względu na brak konieczności 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77777777"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 xml:space="preserve">Analizując aktualne rozwiązania symulatorów VR okazuje się, że ich rynek jest nieodzownie związany z rozwojem samej przestrzeni wirtualnej w ciągu ostatnich lat. Technologia niegdyś dostępna tylko dla wojska i 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 z 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Dobrym przykładem symulatorów 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 xml:space="preserve">niwersytetu Maxa Plancka w 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 w różnych narożnikach klatki. Symulator wykorzystywany jest do badań nad percepcją ruchu. Zaletą tego rozwiązania jest zapewnienie bardzo dużego zasięgu ruchu, minusem jednak jest brak możliwości pozycjonowania kabiny w „ekstremalnych” pozycjach, np. do góry nogami, ze względu na krzyżujące się linki.</w:t>
      </w:r>
    </w:p>
    <w:p w14:paraId="6C0BBB98" w14:textId="7777777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 z przykładów jest projekt, gdyż sam symulator wciąż powstaje, firmy AxonVR (rys. 1.10).  Symulator jest wciąż w fazie powstawania, jednak po już istniejących elementach i 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wnioski o jego możliwościach. Symulator bazuje na strukturze podwieszonego egzoszkieletu. Zapewnienie napędu na wszystkie możliwe ogniwa skutkuje możliwością odtworzenia uczucia siły działającej na poszczególne części ciała, w efekcie skutkując immersyjnym poczuciem interakcji z otoczeniem – główną bolączką przestrzeni 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77777777"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 w 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7777777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 W przeciwieństwie do przedstawionych wcześniej symulatorów, ten pozwala na osiągnięcie ekstremalnych pozycji</w:t>
      </w:r>
      <w:r w:rsidR="00F4276F">
        <w:rPr>
          <w:rFonts w:ascii="Times New Roman" w:hAnsi="Times New Roman" w:cs="Times New Roman"/>
          <w:sz w:val="24"/>
          <w:szCs w:val="24"/>
        </w:rPr>
        <w:t>, np. pozycji 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77777777"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 xml:space="preserve">Platformę Stewarta wykorzystywaną do aplikacji VR, najczęściej znaleźć można w amatorskich konstrukcjach. Duża część platform na rynku, wykorzystywanych jako symulatory, </w:t>
      </w:r>
      <w:r w:rsidR="00061AC7">
        <w:rPr>
          <w:rFonts w:ascii="Times New Roman" w:hAnsi="Times New Roman" w:cs="Times New Roman"/>
          <w:sz w:val="24"/>
          <w:szCs w:val="24"/>
        </w:rPr>
        <w:t xml:space="preserve">niepotrzebnie wysokie </w:t>
      </w:r>
      <w:r w:rsidRPr="000C37B2">
        <w:rPr>
          <w:rFonts w:ascii="Times New Roman" w:hAnsi="Times New Roman" w:cs="Times New Roman"/>
          <w:sz w:val="24"/>
          <w:szCs w:val="24"/>
        </w:rPr>
        <w:t>parametry</w:t>
      </w:r>
      <w:r w:rsidR="00061AC7">
        <w:rPr>
          <w:rFonts w:ascii="Times New Roman" w:hAnsi="Times New Roman" w:cs="Times New Roman"/>
          <w:sz w:val="24"/>
          <w:szCs w:val="24"/>
        </w:rPr>
        <w:t xml:space="preserve"> w</w:t>
      </w:r>
      <w:r w:rsidRPr="000C37B2">
        <w:rPr>
          <w:rFonts w:ascii="Times New Roman" w:hAnsi="Times New Roman" w:cs="Times New Roman"/>
          <w:sz w:val="24"/>
          <w:szCs w:val="24"/>
        </w:rPr>
        <w:t xml:space="preserve"> 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przestrzeni wirtualnej. Ograniczenie obiektów poruszanych przez platformę do fotela i człowieka (pozbycie się kabin i wyświetlaczy) pozwala zredukować masę oraz gabaryty mechanizmu, tworząc podłoże do redukcji kosztów elementów oraz optymalizacji 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74E7754E" w14:textId="77777777" w:rsidR="000F201B" w:rsidRDefault="006F4A9C" w:rsidP="000F201B">
      <w:pPr>
        <w:jc w:val="both"/>
        <w:rPr>
          <w:rFonts w:ascii="Times New Roman" w:hAnsi="Times New Roman" w:cs="Times New Roman"/>
          <w:sz w:val="24"/>
          <w:szCs w:val="24"/>
        </w:rPr>
      </w:pPr>
      <w:r>
        <w:rPr>
          <w:rFonts w:ascii="Times New Roman" w:hAnsi="Times New Roman" w:cs="Times New Roman"/>
          <w:sz w:val="24"/>
          <w:szCs w:val="24"/>
        </w:rPr>
        <w:t>Jako mechanizm poruszający została wybrana platforma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stopni swobody oraz wysoką sztywność.</w:t>
      </w:r>
      <w:r w:rsidR="000F201B">
        <w:rPr>
          <w:rFonts w:ascii="Times New Roman" w:hAnsi="Times New Roman" w:cs="Times New Roman"/>
          <w:sz w:val="24"/>
          <w:szCs w:val="24"/>
        </w:rPr>
        <w:t xml:space="preserve"> Mechanizm jest manipulatorem równoległym i składa się z siłowników łączących platformę z podstawą.</w:t>
      </w:r>
      <w:r w:rsidR="002967BF">
        <w:rPr>
          <w:rFonts w:ascii="Times New Roman" w:hAnsi="Times New Roman" w:cs="Times New Roman"/>
          <w:sz w:val="24"/>
          <w:szCs w:val="24"/>
        </w:rPr>
        <w:t xml:space="preserve"> Punkty zaczepu siłowników na podstawie i platformie umiejscowione są co 120</w:t>
      </w:r>
      <w:r w:rsidR="002967BF">
        <w:rPr>
          <w:rFonts w:ascii="Courier New" w:eastAsia="Courier New" w:hAnsi="Courier New" w:cs="Courier New"/>
        </w:rPr>
        <w:t>°</w:t>
      </w:r>
      <w:r w:rsidR="002967BF">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 projekcie zrezygnowano z wykorzystania szóstego stopnia swobody (obrót wokół osi z’)</w:t>
      </w:r>
      <w:r w:rsidR="0053093F">
        <w:rPr>
          <w:rFonts w:ascii="Times New Roman" w:hAnsi="Times New Roman" w:cs="Times New Roman"/>
          <w:sz w:val="24"/>
          <w:szCs w:val="24"/>
        </w:rPr>
        <w:t xml:space="preserve">, na rzecz rozwiązania zaproponowanego w rozdziale </w:t>
      </w:r>
      <w:commentRangeStart w:id="1"/>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1"/>
      <w:r w:rsidR="0053093F">
        <w:rPr>
          <w:rStyle w:val="Odwoaniedokomentarza"/>
        </w:rPr>
        <w:commentReference w:id="1"/>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 gdzie:</w:t>
      </w:r>
    </w:p>
    <w:p w14:paraId="6E8C15AA" w14:textId="77777777" w:rsidR="000F201B" w:rsidRDefault="000F201B" w:rsidP="000F201B">
      <w:pPr>
        <w:jc w:val="both"/>
        <w:rPr>
          <w:rFonts w:ascii="Times New Roman" w:hAnsi="Times New Roman" w:cs="Times New Roman"/>
          <w:sz w:val="24"/>
          <w:szCs w:val="24"/>
        </w:rPr>
      </w:pPr>
      <w:r>
        <w:rPr>
          <w:rFonts w:ascii="Times New Roman" w:hAnsi="Times New Roman" w:cs="Times New Roman"/>
          <w:sz w:val="24"/>
          <w:szCs w:val="24"/>
        </w:rPr>
        <w:t xml:space="preserve">Punkty O i O’ to środki układów odniesienia, kolejno podstawy i platformy. </w:t>
      </w:r>
    </w:p>
    <w:p w14:paraId="0F27FCFE" w14:textId="77777777" w:rsidR="000F201B" w:rsidRDefault="000F201B" w:rsidP="000F201B">
      <w:pPr>
        <w:jc w:val="both"/>
        <w:rPr>
          <w:rFonts w:ascii="Times New Roman" w:hAnsi="Times New Roman" w:cs="Times New Roman"/>
          <w:sz w:val="24"/>
          <w:szCs w:val="24"/>
        </w:rPr>
      </w:pPr>
      <w:r>
        <w:rPr>
          <w:rFonts w:ascii="Times New Roman" w:hAnsi="Times New Roman" w:cs="Times New Roman"/>
          <w:sz w:val="24"/>
          <w:szCs w:val="24"/>
        </w:rPr>
        <w:t xml:space="preserve">Okrąg o środku w punkcie O i promieniu R jest podstawą mechanizmu, opierającą się na podłożu. W końcowym efekcie, podstawa nie musi być okręgiem, na potrzeby modelowania jednak, spełnia swoją funkcję, ze względu na równo rozmieszczone względem środka układu odniesienia punkty zaczepu siłowników. Punkty A, B i C są punktami zaczepienia siłowników do podstawy oraz A’, B’ i C’ do  platformy. Siłowniki oznaczone są kolejno </w:t>
      </w:r>
      <w:r w:rsidR="004A3159">
        <w:rPr>
          <w:rFonts w:ascii="Times New Roman" w:hAnsi="Times New Roman" w:cs="Times New Roman"/>
          <w:sz w:val="24"/>
          <w:szCs w:val="24"/>
        </w:rPr>
        <w:t xml:space="preserve">ciągłymi </w:t>
      </w:r>
      <w:r>
        <w:rPr>
          <w:rFonts w:ascii="Times New Roman" w:hAnsi="Times New Roman" w:cs="Times New Roman"/>
          <w:sz w:val="24"/>
          <w:szCs w:val="24"/>
        </w:rPr>
        <w:t>liniami zielonymi, niebieskimi i 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77777777"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mechanizmowi 6 stopni swobody siłowniki połączono z podstawą parami obrotowymi drugiej klasy, a z platformą parami obrotowymi 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77777777"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stopni 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 – ilość elementów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634F5C"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77777777"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wartości są</w:t>
      </w:r>
      <w:r w:rsidR="00082293" w:rsidRPr="00082293">
        <w:rPr>
          <w:rFonts w:ascii="Times New Roman" w:hAnsi="Times New Roman" w:cs="Times New Roman"/>
          <w:sz w:val="24"/>
          <w:szCs w:val="24"/>
        </w:rPr>
        <w:t xml:space="preserve"> podyktowane wymaganiami stawianymi </w:t>
      </w:r>
      <w:r w:rsidR="00082293">
        <w:rPr>
          <w:rFonts w:ascii="Times New Roman" w:hAnsi="Times New Roman" w:cs="Times New Roman"/>
          <w:sz w:val="24"/>
          <w:szCs w:val="24"/>
        </w:rPr>
        <w:t>całemu symulatorowi. Parametry:</w:t>
      </w:r>
    </w:p>
    <w:p w14:paraId="2CA0268B" w14:textId="77777777"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stopni 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 w 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 xml:space="preserve">możliwie dużej ilości aplikacji </w:t>
      </w:r>
      <w:r w:rsidR="00002D58">
        <w:rPr>
          <w:rFonts w:ascii="Times New Roman" w:hAnsi="Times New Roman" w:cs="Times New Roman"/>
          <w:sz w:val="24"/>
          <w:szCs w:val="24"/>
        </w:rPr>
        <w:t>wsparcie.</w:t>
      </w:r>
    </w:p>
    <w:p w14:paraId="16F37A17" w14:textId="77777777"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xml:space="preserve">, który w przyszłości 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możliwości symulatora.</w:t>
      </w:r>
    </w:p>
    <w:p w14:paraId="159F84CC" w14:textId="77777777"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 i kątowe platformy</w:t>
      </w:r>
      <w:r w:rsidR="000E78FF" w:rsidRPr="00CC3C88">
        <w:rPr>
          <w:rFonts w:ascii="Times New Roman" w:hAnsi="Times New Roman" w:cs="Times New Roman"/>
          <w:sz w:val="24"/>
          <w:szCs w:val="24"/>
        </w:rPr>
        <w:t xml:space="preserve"> – większe wartości pozwalają na symulowanie </w:t>
      </w:r>
      <w:r w:rsidR="008E3B05">
        <w:rPr>
          <w:rFonts w:ascii="Times New Roman" w:hAnsi="Times New Roman" w:cs="Times New Roman"/>
          <w:sz w:val="24"/>
          <w:szCs w:val="24"/>
        </w:rPr>
        <w:t>większego zakresu przyspieszeń</w:t>
      </w:r>
    </w:p>
    <w:p w14:paraId="23B641AE" w14:textId="77777777"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Prędkości liniowe i 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wartości prędkości pozwalają na dłuższą symulację przyspieszenia, zwiększając możliwości symulatora.</w:t>
      </w:r>
    </w:p>
    <w:p w14:paraId="22027333" w14:textId="77777777"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wymaganiami symulatorów lotniczych [3], co po przeliczeniu na jednostki metryczne dało następujące wartości</w:t>
      </w:r>
      <w:r w:rsidR="00BF6AC0">
        <w:rPr>
          <w:rFonts w:ascii="Times New Roman" w:hAnsi="Times New Roman" w:cs="Times New Roman"/>
          <w:sz w:val="24"/>
          <w:szCs w:val="24"/>
        </w:rPr>
        <w:t xml:space="preserve"> (tab.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 w 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 w 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7777777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2.3 Dobór siłownika</w:t>
      </w:r>
    </w:p>
    <w:p w14:paraId="284322C0" w14:textId="77777777"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możliwościami osiągnięcia wymaganego przyspieszenia i prędkości</w:t>
      </w:r>
      <w:r w:rsidR="00905102">
        <w:rPr>
          <w:rFonts w:ascii="Times New Roman" w:hAnsi="Times New Roman" w:cs="Times New Roman"/>
          <w:sz w:val="24"/>
          <w:szCs w:val="24"/>
        </w:rPr>
        <w:t>, w 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 xml:space="preserve">artości parametrów 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 z obrotem, tak by wektory prędkości i przyspieszeń liniowych pokrywały się kierunkiem</w:t>
      </w:r>
      <w:r w:rsidR="00496CEA">
        <w:rPr>
          <w:rFonts w:ascii="Times New Roman" w:hAnsi="Times New Roman" w:cs="Times New Roman"/>
          <w:sz w:val="24"/>
          <w:szCs w:val="24"/>
        </w:rPr>
        <w:t xml:space="preserve"> z tymi utworzonymi 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 xml:space="preserve">odatkowo złożenie zarówno obrotu i </w:t>
      </w:r>
      <w:r w:rsidR="000E31B9">
        <w:rPr>
          <w:rFonts w:ascii="Times New Roman" w:hAnsi="Times New Roman" w:cs="Times New Roman"/>
          <w:sz w:val="24"/>
          <w:szCs w:val="24"/>
        </w:rPr>
        <w:t xml:space="preserve">translacji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wymogi 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77777777"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Wartości wektorów utworzonych przez obrót są jednak zależne od promienia platformy R’ i 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77777777"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prędkości 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77777777" w:rsidR="00A55A72" w:rsidRPr="008D72BF" w:rsidRDefault="00EE0572"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W efekcie wymagania</w:t>
      </w:r>
      <w:r w:rsidR="008D72BF">
        <w:rPr>
          <w:rFonts w:ascii="Times New Roman" w:hAnsi="Times New Roman" w:cs="Times New Roman"/>
          <w:sz w:val="24"/>
          <w:szCs w:val="24"/>
        </w:rPr>
        <w:t xml:space="preserve"> co do wartości prędkości i przyspieszenia</w:t>
      </w:r>
      <w:r>
        <w:rPr>
          <w:rFonts w:ascii="Times New Roman" w:hAnsi="Times New Roman" w:cs="Times New Roman"/>
          <w:sz w:val="24"/>
          <w:szCs w:val="24"/>
        </w:rPr>
        <w:t xml:space="preserve"> stawiane siłownikowi wyniosły:</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634F5C"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33E0BC6D" w14:textId="77777777" w:rsidR="008D72BF"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Siłowniki spełniające te wymagania zostały znalezione w katalogu firmy Rexroth[D1]</w:t>
      </w:r>
      <w:r w:rsidR="00954220">
        <w:rPr>
          <w:rFonts w:ascii="Times New Roman" w:hAnsi="Times New Roman" w:cs="Times New Roman"/>
          <w:sz w:val="24"/>
          <w:szCs w:val="24"/>
        </w:rPr>
        <w:br/>
        <w:t>(tab. 2.2)</w:t>
      </w:r>
      <w:r>
        <w:rPr>
          <w:rFonts w:ascii="Times New Roman" w:hAnsi="Times New Roman" w:cs="Times New Roman"/>
          <w:sz w:val="24"/>
          <w:szCs w:val="24"/>
        </w:rPr>
        <w:t xml:space="preserve">.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 xml:space="preserve">wysuw 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xml:space="preserve">, mógł zostać dobrany bez uwzględniania obciążenia siłownika, ze względu na unormowane długości wysuwu. Siłowniki o różnej obciążalności posiadają ten sam wysuw, gwarantując możliwość doboru w 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81214CA" w14:textId="77777777"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lastRenderedPageBreak/>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77777777"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Analiza geometryczna miała na celu określenie parametrów potrzebnych do określenia geometrii mechanizmu i wyznaczenie ich wartości. </w:t>
      </w:r>
      <w:r w:rsidR="005932B9">
        <w:rPr>
          <w:rFonts w:ascii="Times New Roman" w:hAnsi="Times New Roman" w:cs="Times New Roman"/>
          <w:sz w:val="24"/>
          <w:szCs w:val="24"/>
        </w:rPr>
        <w:t xml:space="preserve">Dobór parametrów geometrycznych mechanizmu jest ciężkim zadaniem głównie ze względu na wspólne zależności 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 xml:space="preserve">Brak punktu wyjścia przy ich doborze sprawia, że przyjmowany jest pewien zestaw parametrów, na podstawie których wyliczane są pozostałe. W przypadku nie </w:t>
      </w:r>
      <w:r w:rsidR="00C27A22">
        <w:rPr>
          <w:rFonts w:ascii="Times New Roman" w:hAnsi="Times New Roman" w:cs="Times New Roman"/>
          <w:sz w:val="24"/>
          <w:szCs w:val="24"/>
        </w:rPr>
        <w:t>spełnienia wymogów, wyjściowe wartości są zmieniane zgodnie z przewidywaniami i wyniki ponownie sprawdzane z wymaganiami.</w:t>
      </w:r>
      <w:r w:rsidR="00D14B00">
        <w:rPr>
          <w:rFonts w:ascii="Times New Roman" w:hAnsi="Times New Roman" w:cs="Times New Roman"/>
          <w:sz w:val="24"/>
          <w:szCs w:val="24"/>
        </w:rPr>
        <w:t xml:space="preserve"> </w:t>
      </w:r>
      <w:r>
        <w:rPr>
          <w:rFonts w:ascii="Times New Roman" w:hAnsi="Times New Roman" w:cs="Times New Roman"/>
          <w:sz w:val="24"/>
          <w:szCs w:val="24"/>
        </w:rPr>
        <w:t>W trakcie analizy geometrycznej wyznaczono zależności pomiędzy parametrami pozwalające na obliczanie wszystkich wartości.  Wynikowa geometria mechanizmu musi spełniać stawiane maszynie wymagania, takie jak zapewnienie odpowiedniej strefy roboczej manipulatora</w:t>
      </w:r>
      <w:r w:rsidR="004F18D8">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77777777"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 xml:space="preserve">manipulatora to obszar w którym efektor (w tym przypadku fotel) może osiągać dowolną orientację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 2.</w:t>
      </w:r>
      <w:r w:rsidR="00A55A72">
        <w:rPr>
          <w:rFonts w:ascii="Times New Roman" w:hAnsi="Times New Roman" w:cs="Times New Roman"/>
          <w:sz w:val="24"/>
          <w:szCs w:val="24"/>
        </w:rPr>
        <w:t>3</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geometrii układu zdefiniowano parametry:</w:t>
      </w:r>
    </w:p>
    <w:p w14:paraId="346EAABD"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 przy platformie,</w:t>
      </w:r>
    </w:p>
    <w:p w14:paraId="1498D88C"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 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7777777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ciężkości 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E5E90FD" wp14:editId="3CED35FE">
            <wp:extent cx="2213002" cy="3183147"/>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5493" cy="3186730"/>
                    </a:xfrm>
                    <a:prstGeom prst="rect">
                      <a:avLst/>
                    </a:prstGeom>
                    <a:noFill/>
                    <a:ln>
                      <a:noFill/>
                    </a:ln>
                  </pic:spPr>
                </pic:pic>
              </a:graphicData>
            </a:graphic>
          </wp:inline>
        </w:drawing>
      </w:r>
    </w:p>
    <w:p w14:paraId="221CE45F" w14:textId="77777777"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lastRenderedPageBreak/>
        <w:t>Rys. 2.3 Strefa robocza mechanizmu</w:t>
      </w:r>
    </w:p>
    <w:p w14:paraId="4971D838" w14:textId="77777777"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 granicznych,</w:t>
      </w:r>
      <w:r>
        <w:rPr>
          <w:rFonts w:ascii="Times New Roman" w:hAnsi="Times New Roman" w:cs="Times New Roman"/>
          <w:sz w:val="24"/>
          <w:szCs w:val="24"/>
        </w:rPr>
        <w:t xml:space="preserve"> </w:t>
      </w:r>
      <w:r w:rsidR="00FD1537">
        <w:rPr>
          <w:rFonts w:ascii="Times New Roman" w:hAnsi="Times New Roman" w:cs="Times New Roman"/>
          <w:sz w:val="24"/>
          <w:szCs w:val="24"/>
        </w:rPr>
        <w:t xml:space="preserve">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 </w:t>
      </w:r>
      <w:r w:rsidR="00405B98">
        <w:rPr>
          <w:rFonts w:ascii="Times New Roman" w:hAnsi="Times New Roman" w:cs="Times New Roman"/>
          <w:sz w:val="24"/>
          <w:szCs w:val="24"/>
        </w:rPr>
        <w:t xml:space="preserve">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xml:space="preserve">, na podstawie których wyznaczona została wysokość SR. Średnica SR (d) została przyjęta i wykorzystana do wyznaczenia powyższych punktów.  </w:t>
      </w:r>
    </w:p>
    <w:p w14:paraId="2F80AFAA" w14:textId="77777777" w:rsidR="00A13F56"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 xml:space="preserve">Dolny punkt graniczny, wyznaczono jako najwyższy punkt, w którym całkowicie schowany siłownik umożliwi platformie pozycji w największym wychyleniu. </w:t>
      </w:r>
      <w:r w:rsidR="00FD1537">
        <w:rPr>
          <w:rFonts w:ascii="Times New Roman" w:hAnsi="Times New Roman" w:cs="Times New Roman"/>
          <w:sz w:val="24"/>
          <w:szCs w:val="24"/>
        </w:rPr>
        <w:t xml:space="preserve">Rachunek wektorowy, przedstawiony na rys. 2.4 pokazuje sposób wyznaczenia dolnego zasięgu siłownika. </w:t>
      </w:r>
      <w:r>
        <w:rPr>
          <w:rFonts w:ascii="Times New Roman" w:hAnsi="Times New Roman" w:cs="Times New Roman"/>
          <w:sz w:val="24"/>
          <w:szCs w:val="24"/>
        </w:rPr>
        <w:t xml:space="preserve">Z początku układu odniesienia podstawy (punkt O), pociągnięto wektor mocowania siłownika przy platformie </w:t>
      </w:r>
      <w:r w:rsidRPr="001F2976">
        <w:rPr>
          <w:rFonts w:ascii="Times New Roman" w:hAnsi="Times New Roman" w:cs="Times New Roman"/>
          <w:b/>
          <w:sz w:val="24"/>
          <w:szCs w:val="24"/>
        </w:rPr>
        <w:t>v</w:t>
      </w:r>
      <w:r w:rsidRPr="001F2976">
        <w:rPr>
          <w:rFonts w:ascii="Times New Roman" w:hAnsi="Times New Roman" w:cs="Times New Roman"/>
          <w:b/>
          <w:sz w:val="24"/>
          <w:szCs w:val="24"/>
          <w:vertAlign w:val="subscript"/>
        </w:rPr>
        <w:t>0</w:t>
      </w:r>
      <w:r>
        <w:rPr>
          <w:rFonts w:ascii="Times New Roman" w:hAnsi="Times New Roman" w:cs="Times New Roman"/>
          <w:sz w:val="24"/>
          <w:szCs w:val="24"/>
        </w:rPr>
        <w:t xml:space="preserve"> do punktu A, następnie z pkt. A pociągnięto wektor </w:t>
      </w:r>
      <w:r w:rsidR="00A13F56" w:rsidRPr="00A13F56">
        <w:rPr>
          <w:rFonts w:ascii="Times New Roman" w:hAnsi="Times New Roman" w:cs="Times New Roman"/>
          <w:b/>
          <w:sz w:val="24"/>
          <w:szCs w:val="24"/>
        </w:rPr>
        <w:t>v</w:t>
      </w:r>
      <w:r w:rsidR="00A13F56">
        <w:rPr>
          <w:rFonts w:ascii="Times New Roman" w:hAnsi="Times New Roman" w:cs="Times New Roman"/>
          <w:b/>
          <w:sz w:val="24"/>
          <w:szCs w:val="24"/>
          <w:vertAlign w:val="subscript"/>
        </w:rPr>
        <w:t>1</w:t>
      </w:r>
      <w:r w:rsidR="00A13F56">
        <w:rPr>
          <w:rFonts w:ascii="Times New Roman" w:hAnsi="Times New Roman" w:cs="Times New Roman"/>
          <w:sz w:val="24"/>
          <w:szCs w:val="24"/>
        </w:rPr>
        <w:t xml:space="preserve"> </w:t>
      </w:r>
      <w:r>
        <w:rPr>
          <w:rFonts w:ascii="Times New Roman" w:hAnsi="Times New Roman" w:cs="Times New Roman"/>
          <w:sz w:val="24"/>
          <w:szCs w:val="24"/>
        </w:rPr>
        <w:t>o długości</w:t>
      </w:r>
      <w:r w:rsidR="0087402A">
        <w:rPr>
          <w:rFonts w:ascii="Times New Roman" w:hAnsi="Times New Roman" w:cs="Times New Roman"/>
          <w:sz w:val="24"/>
          <w:szCs w:val="24"/>
        </w:rPr>
        <w:t xml:space="preserve"> L</w:t>
      </w:r>
      <w:r w:rsidR="0087402A" w:rsidRPr="0087402A">
        <w:rPr>
          <w:rFonts w:ascii="Times New Roman" w:hAnsi="Times New Roman" w:cs="Times New Roman"/>
          <w:sz w:val="24"/>
          <w:szCs w:val="24"/>
          <w:vertAlign w:val="subscript"/>
        </w:rPr>
        <w:t>min</w:t>
      </w:r>
      <w:r w:rsidR="0087402A">
        <w:rPr>
          <w:rFonts w:ascii="Times New Roman" w:hAnsi="Times New Roman" w:cs="Times New Roman"/>
          <w:sz w:val="24"/>
          <w:szCs w:val="24"/>
        </w:rPr>
        <w:t xml:space="preserve"> pod kątem 90° do osi x.</w:t>
      </w:r>
      <w:r w:rsidR="00A13F56">
        <w:rPr>
          <w:rFonts w:ascii="Times New Roman" w:hAnsi="Times New Roman" w:cs="Times New Roman"/>
          <w:sz w:val="24"/>
          <w:szCs w:val="24"/>
        </w:rPr>
        <w:t xml:space="preserve"> Do końca </w:t>
      </w:r>
      <w:r w:rsidR="00A13F56">
        <w:rPr>
          <w:rFonts w:ascii="Times New Roman" w:hAnsi="Times New Roman" w:cs="Times New Roman"/>
          <w:b/>
          <w:sz w:val="24"/>
          <w:szCs w:val="24"/>
        </w:rPr>
        <w:t>v</w:t>
      </w:r>
      <w:r w:rsidR="00A13F56">
        <w:rPr>
          <w:rFonts w:ascii="Times New Roman" w:hAnsi="Times New Roman" w:cs="Times New Roman"/>
          <w:b/>
          <w:sz w:val="24"/>
          <w:szCs w:val="24"/>
          <w:vertAlign w:val="subscript"/>
        </w:rPr>
        <w:t xml:space="preserve">1 </w:t>
      </w:r>
      <w:r w:rsidR="00A13F56">
        <w:rPr>
          <w:rFonts w:ascii="Times New Roman" w:hAnsi="Times New Roman" w:cs="Times New Roman"/>
          <w:sz w:val="24"/>
          <w:szCs w:val="24"/>
        </w:rPr>
        <w:t xml:space="preserve">zaczepiono wektor mocowania siłownika przy platformie </w:t>
      </w:r>
      <w:r w:rsidR="00A13F56">
        <w:rPr>
          <w:rFonts w:ascii="Times New Roman" w:hAnsi="Times New Roman" w:cs="Times New Roman"/>
          <w:b/>
          <w:sz w:val="24"/>
          <w:szCs w:val="24"/>
        </w:rPr>
        <w:t>v</w:t>
      </w:r>
      <w:r w:rsidR="00A13F56" w:rsidRPr="001F2976">
        <w:rPr>
          <w:rFonts w:ascii="Times New Roman" w:hAnsi="Times New Roman" w:cs="Times New Roman"/>
          <w:b/>
          <w:sz w:val="24"/>
          <w:szCs w:val="24"/>
          <w:vertAlign w:val="subscript"/>
        </w:rPr>
        <w:t>2</w:t>
      </w:r>
      <w:r w:rsidR="00A13F56">
        <w:rPr>
          <w:rFonts w:ascii="Times New Roman" w:hAnsi="Times New Roman" w:cs="Times New Roman"/>
          <w:sz w:val="24"/>
          <w:szCs w:val="24"/>
        </w:rPr>
        <w:t xml:space="preserve"> nachylonego do osi x pod kątem </w:t>
      </w:r>
      <w:r w:rsidR="00A13F56" w:rsidRPr="00A13F56">
        <w:rPr>
          <w:rFonts w:ascii="Symbol" w:hAnsi="Symbol" w:cs="Times New Roman"/>
          <w:sz w:val="24"/>
          <w:szCs w:val="24"/>
        </w:rPr>
        <w:t></w:t>
      </w:r>
      <w:r w:rsidR="00A13F56">
        <w:rPr>
          <w:rFonts w:ascii="Times New Roman" w:hAnsi="Times New Roman" w:cs="Times New Roman"/>
          <w:sz w:val="24"/>
          <w:szCs w:val="24"/>
        </w:rPr>
        <w:t xml:space="preserve">. Końcówka </w:t>
      </w:r>
      <w:r w:rsidR="00A13F56">
        <w:rPr>
          <w:rFonts w:ascii="Times New Roman" w:hAnsi="Times New Roman" w:cs="Times New Roman"/>
          <w:b/>
          <w:sz w:val="24"/>
          <w:szCs w:val="24"/>
        </w:rPr>
        <w:t>v</w:t>
      </w:r>
      <w:r w:rsidR="00A13F56" w:rsidRPr="001F2976">
        <w:rPr>
          <w:rFonts w:ascii="Times New Roman" w:hAnsi="Times New Roman" w:cs="Times New Roman"/>
          <w:b/>
          <w:sz w:val="24"/>
          <w:szCs w:val="24"/>
          <w:vertAlign w:val="subscript"/>
        </w:rPr>
        <w:t>2</w:t>
      </w:r>
      <w:r w:rsidR="00A13F56">
        <w:rPr>
          <w:rFonts w:ascii="Times New Roman" w:hAnsi="Times New Roman" w:cs="Times New Roman"/>
          <w:b/>
          <w:sz w:val="24"/>
          <w:szCs w:val="24"/>
          <w:vertAlign w:val="subscript"/>
        </w:rPr>
        <w:t xml:space="preserve"> </w:t>
      </w:r>
      <w:r w:rsidR="00A13F56">
        <w:rPr>
          <w:rFonts w:ascii="Times New Roman" w:hAnsi="Times New Roman" w:cs="Times New Roman"/>
          <w:sz w:val="24"/>
          <w:szCs w:val="24"/>
        </w:rPr>
        <w:t xml:space="preserve">wskazuje początek układu odniesienia platformy i tym samym współrzędne dolnego punktu granicznego. </w:t>
      </w:r>
      <w:r w:rsidR="006C5978">
        <w:rPr>
          <w:rFonts w:ascii="Times New Roman" w:hAnsi="Times New Roman" w:cs="Times New Roman"/>
          <w:sz w:val="24"/>
          <w:szCs w:val="24"/>
        </w:rPr>
        <w:t>Położenie punktu O’ opisano za pomocą:</w:t>
      </w:r>
    </w:p>
    <w:p w14:paraId="76DFE5FF" w14:textId="77777777" w:rsidR="00A13F56" w:rsidRPr="006C5978" w:rsidRDefault="00634F5C"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OO</m:t>
                </m:r>
              </m:e>
              <m:sup>
                <m:r>
                  <w:rPr>
                    <w:rFonts w:ascii="Cambria Math" w:hAnsi="Cambria Math" w:cs="Times New Roman"/>
                    <w:sz w:val="24"/>
                    <w:szCs w:val="24"/>
                  </w:rPr>
                  <m:t>'</m:t>
                </m:r>
              </m:sup>
            </m:sSup>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0</m:t>
                </m:r>
              </m:sub>
            </m:sSub>
          </m:e>
        </m:acc>
        <m:r>
          <w:rPr>
            <w:rFonts w:ascii="Cambria Math" w:hAnsi="Cambria Math" w:cs="Times New Roman"/>
            <w:sz w:val="24"/>
            <w:szCs w:val="24"/>
          </w:rPr>
          <m:t>+</m:t>
        </m:r>
        <m:acc>
          <m:accPr>
            <m:chr m:val="⃗"/>
            <m:ctrlPr>
              <w:rPr>
                <w:rFonts w:ascii="Cambria Math" w:hAnsi="Cambria Math" w:cs="Times New Roman"/>
                <w:b/>
                <w:i/>
                <w:sz w:val="24"/>
                <w:szCs w:val="24"/>
              </w:rPr>
            </m:ctrlPr>
          </m:accPr>
          <m:e>
            <m:sSub>
              <m:sSubPr>
                <m:ctrlPr>
                  <w:rPr>
                    <w:rFonts w:ascii="Cambria Math" w:hAnsi="Cambria Math" w:cs="Times New Roman"/>
                    <w:b/>
                    <w:i/>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1</m:t>
                </m:r>
              </m:sub>
            </m:sSub>
          </m:e>
        </m:acc>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2</m:t>
                </m:r>
              </m:sub>
            </m:sSub>
          </m:e>
        </m:acc>
      </m:oMath>
      <w:r w:rsidR="007E422B">
        <w:rPr>
          <w:rFonts w:ascii="Times New Roman" w:eastAsiaTheme="minorEastAsia" w:hAnsi="Times New Roman" w:cs="Times New Roman"/>
          <w:sz w:val="24"/>
          <w:szCs w:val="24"/>
        </w:rPr>
        <w:t xml:space="preserve"> </w:t>
      </w:r>
      <w:r w:rsidR="007E422B">
        <w:rPr>
          <w:rFonts w:ascii="Times New Roman" w:eastAsiaTheme="minorEastAsia" w:hAnsi="Times New Roman" w:cs="Times New Roman"/>
          <w:sz w:val="24"/>
          <w:szCs w:val="24"/>
        </w:rPr>
        <w:tab/>
      </w:r>
      <w:r w:rsidR="007E422B">
        <w:rPr>
          <w:rFonts w:ascii="Times New Roman" w:eastAsiaTheme="minorEastAsia" w:hAnsi="Times New Roman" w:cs="Times New Roman"/>
          <w:sz w:val="24"/>
          <w:szCs w:val="24"/>
        </w:rPr>
        <w:tab/>
      </w:r>
      <w:r w:rsidR="007E422B">
        <w:rPr>
          <w:rFonts w:ascii="Times New Roman" w:eastAsiaTheme="minorEastAsia" w:hAnsi="Times New Roman" w:cs="Times New Roman"/>
          <w:sz w:val="24"/>
          <w:szCs w:val="24"/>
        </w:rPr>
        <w:tab/>
      </w:r>
      <w:r w:rsidR="007E422B">
        <w:rPr>
          <w:rFonts w:ascii="Times New Roman" w:eastAsiaTheme="minorEastAsia" w:hAnsi="Times New Roman" w:cs="Times New Roman"/>
          <w:sz w:val="24"/>
          <w:szCs w:val="24"/>
        </w:rPr>
        <w:tab/>
      </w:r>
      <w:r w:rsidR="007E422B">
        <w:rPr>
          <w:rFonts w:ascii="Times New Roman" w:eastAsiaTheme="minorEastAsia" w:hAnsi="Times New Roman" w:cs="Times New Roman"/>
          <w:sz w:val="24"/>
          <w:szCs w:val="24"/>
        </w:rPr>
        <w:tab/>
        <w:t>(2.1)</w:t>
      </w:r>
    </w:p>
    <w:p w14:paraId="06874E4B" w14:textId="77777777" w:rsidR="006C5978" w:rsidRDefault="006C5978" w:rsidP="006C597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Następnie wyznaczono interesujący nas parametr – wysokość punktu O’ oznaczony jako 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0FD34108" w14:textId="77777777" w:rsidR="006C5978" w:rsidRPr="006C5978" w:rsidRDefault="00634F5C"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77777777"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 xml:space="preserve">Rys. 2.4 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77777777" w:rsidR="00E025A1" w:rsidRPr="00E025A1" w:rsidRDefault="001F2976" w:rsidP="00CC145A">
      <w:pPr>
        <w:jc w:val="both"/>
        <w:rPr>
          <w:rFonts w:ascii="Times New Roman" w:hAnsi="Times New Roman" w:cs="Times New Roman"/>
          <w:sz w:val="24"/>
          <w:szCs w:val="24"/>
        </w:rPr>
      </w:pPr>
      <w:r>
        <w:rPr>
          <w:rFonts w:ascii="Times New Roman" w:hAnsi="Times New Roman" w:cs="Times New Roman"/>
          <w:sz w:val="24"/>
          <w:szCs w:val="24"/>
        </w:rPr>
        <w:t>Na rys. 2.</w:t>
      </w:r>
      <w:r w:rsidR="009D47EA">
        <w:rPr>
          <w:rFonts w:ascii="Times New Roman" w:hAnsi="Times New Roman" w:cs="Times New Roman"/>
          <w:sz w:val="24"/>
          <w:szCs w:val="24"/>
        </w:rPr>
        <w:t>5</w:t>
      </w:r>
      <w:r>
        <w:rPr>
          <w:rFonts w:ascii="Times New Roman" w:hAnsi="Times New Roman" w:cs="Times New Roman"/>
          <w:sz w:val="24"/>
          <w:szCs w:val="24"/>
        </w:rPr>
        <w:t xml:space="preserve"> pokazano w jaki 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 xml:space="preserve">skierowany wzdłuż osi x, zaczepiony jest w początku układu O i ma długość równą połowie założonej średnicy SR. Przez punkt M utworzony przez końcówkę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zaczepu siłowników 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 jego koniec spoczywał na okręgu o 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 w ten sposób punkt A’ wraz z 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77777777"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2.5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t>Wyznaczono wzó</w:t>
      </w:r>
      <w:r w:rsidR="00E025A1">
        <w:rPr>
          <w:rFonts w:ascii="Times New Roman" w:hAnsi="Times New Roman" w:cs="Times New Roman"/>
          <w:sz w:val="24"/>
          <w:szCs w:val="24"/>
        </w:rPr>
        <w:t xml:space="preserve">r: </w:t>
      </w:r>
    </w:p>
    <w:p w14:paraId="7AB80C60" w14:textId="77777777" w:rsidR="00E025A1" w:rsidRPr="00A61484" w:rsidRDefault="00634F5C"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634F5C"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7777777" w:rsidR="00A61484" w:rsidRDefault="00D05B08"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 efekcie otrzymując:</w:t>
      </w:r>
    </w:p>
    <w:p w14:paraId="45FB691C" w14:textId="77777777" w:rsidR="00CB2FE2" w:rsidRPr="00A61484" w:rsidRDefault="00634F5C"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77777777" w:rsidR="00533B62" w:rsidRDefault="0053093F" w:rsidP="0053093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stateczności maszyny jest ograniczenie strefy roboczej w taki sposób, by środek ciężkości 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 xml:space="preserve">tanowił większość masy efektora wpływając znaczenie na jego środek ciężkości. Środek ciężkości człowieka w pozycji siedzącej przyjęto wykorzystując dostępny w </w:t>
      </w:r>
      <w:r w:rsidR="00C20840">
        <w:rPr>
          <w:rFonts w:ascii="Times New Roman" w:eastAsiaTheme="minorEastAsia" w:hAnsi="Times New Roman" w:cs="Times New Roman"/>
          <w:sz w:val="24"/>
          <w:szCs w:val="24"/>
        </w:rPr>
        <w:lastRenderedPageBreak/>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ciężkości siedzącego człowieka, widoczne jest na rys. 2.6.</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444E789E"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2.6 Model człowieka z zaznaczonym środkiem ciężkości.</w:t>
      </w:r>
    </w:p>
    <w:p w14:paraId="0781ABE5" w14:textId="20E0A106" w:rsidR="0053093F" w:rsidRDefault="004C380B" w:rsidP="0053093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ciężkości 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 w płaszczyźnie xy, wierząc, że sposób zamocowania fotelu do platformy umożliwi ustawienie go zgodnie z osiami. </w:t>
      </w:r>
      <w:r w:rsidR="00A86612">
        <w:rPr>
          <w:rFonts w:ascii="Times New Roman" w:eastAsiaTheme="minorEastAsia" w:hAnsi="Times New Roman" w:cs="Times New Roman"/>
          <w:sz w:val="24"/>
          <w:szCs w:val="24"/>
        </w:rPr>
        <w:t>Na rys. 2.6 widoczny jest sposób wyznaczenia stateczności w zależności od dobranych parametrów 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71923CF7" wp14:editId="6DFDA8EC">
            <wp:extent cx="5648325" cy="360198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145" cy="3604420"/>
                    </a:xfrm>
                    <a:prstGeom prst="rect">
                      <a:avLst/>
                    </a:prstGeom>
                    <a:noFill/>
                    <a:ln>
                      <a:noFill/>
                    </a:ln>
                  </pic:spPr>
                </pic:pic>
              </a:graphicData>
            </a:graphic>
          </wp:inline>
        </w:drawing>
      </w:r>
    </w:p>
    <w:p w14:paraId="14AC35CE" w14:textId="7E2FB7AA"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2.6. Wyznaczenie stateczności.</w:t>
      </w:r>
    </w:p>
    <w:p w14:paraId="510F0844" w14:textId="7C78468F"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 xml:space="preserve">Warunkiem stateczności jest pozycja środka ciężkości (punkt G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 w początku układu platformy O’) wewnątrz strefy roboczej, której przekrój ograniczony jest prostymi m i k. Prosta m wyznacza h_min a k- promień SR. Warunek stateczności wyrażony jest zależnością: </w:t>
      </w:r>
    </w:p>
    <w:p w14:paraId="2EEBFD03" w14:textId="4DE08594" w:rsidR="00A86612" w:rsidRPr="00A86612" w:rsidRDefault="00634F5C"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7B5336FA"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Wzór 2.8 jest rzutem wektorów 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długości 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 do podstawy o długości 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ciężkości w 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6979E1"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pPr>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1E88AA90" w:rsidR="006979E1" w:rsidRDefault="00634F5C" w:rsidP="00533B62">
      <w:pPr>
        <w:rPr>
          <w:rFonts w:ascii="Times New Roman" w:hAnsi="Times New Roman" w:cs="Times New Roman"/>
          <w:sz w:val="24"/>
          <w:szCs w:val="24"/>
        </w:rPr>
      </w:pPr>
      <w:r>
        <w:rPr>
          <w:rFonts w:ascii="Times New Roman" w:hAnsi="Times New Roman" w:cs="Times New Roman"/>
          <w:sz w:val="24"/>
          <w:szCs w:val="24"/>
        </w:rPr>
        <w:tab/>
        <w:t xml:space="preserve">Wykorzystanie wzoru 2.7 i 2.9 pozwoliło na dobranie wszystkich parametrów, z niewielkim ograniczeniem zakresu ruchu w stosunku do parametrów wyjściowych (tab. 2.2). W tabeli 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507B9E15"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ciężkości 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31D2BDFA"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 z 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3B69BE0F"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922 mm</w:t>
            </w:r>
          </w:p>
        </w:tc>
      </w:tr>
    </w:tbl>
    <w:p w14:paraId="6BB9C216" w14:textId="4F8F7E30" w:rsidR="006979E1" w:rsidRDefault="006979E1">
      <w:pPr>
        <w:rPr>
          <w:rFonts w:ascii="Times New Roman" w:hAnsi="Times New Roman" w:cs="Times New Roman"/>
          <w:b/>
          <w:sz w:val="24"/>
          <w:szCs w:val="24"/>
        </w:rPr>
      </w:pPr>
    </w:p>
    <w:p w14:paraId="4EE8D519" w14:textId="65DEEA29" w:rsidR="006979E1" w:rsidRDefault="00F00843">
      <w:pPr>
        <w:rPr>
          <w:rFonts w:ascii="Times New Roman" w:hAnsi="Times New Roman" w:cs="Times New Roman"/>
          <w:b/>
          <w:sz w:val="24"/>
          <w:szCs w:val="24"/>
        </w:rPr>
      </w:pPr>
      <w:r>
        <w:rPr>
          <w:rFonts w:ascii="Times New Roman" w:hAnsi="Times New Roman" w:cs="Times New Roman"/>
          <w:b/>
          <w:sz w:val="24"/>
          <w:szCs w:val="24"/>
        </w:rPr>
        <w:t>2.5</w:t>
      </w:r>
    </w:p>
    <w:p w14:paraId="7DC3DF6A" w14:textId="77777777" w:rsidR="006979E1" w:rsidRDefault="006979E1">
      <w:pPr>
        <w:rPr>
          <w:rFonts w:ascii="Times New Roman" w:hAnsi="Times New Roman" w:cs="Times New Roman"/>
          <w:b/>
          <w:sz w:val="24"/>
          <w:szCs w:val="24"/>
        </w:rPr>
      </w:pPr>
    </w:p>
    <w:p w14:paraId="78ED10E1" w14:textId="77777777" w:rsidR="006979E1" w:rsidRDefault="006979E1">
      <w:pPr>
        <w:rPr>
          <w:rFonts w:ascii="Times New Roman" w:hAnsi="Times New Roman" w:cs="Times New Roman"/>
          <w:b/>
          <w:sz w:val="24"/>
          <w:szCs w:val="24"/>
        </w:rPr>
      </w:pPr>
    </w:p>
    <w:p w14:paraId="504AE579" w14:textId="77777777" w:rsidR="006979E1" w:rsidRDefault="006979E1">
      <w:pPr>
        <w:rPr>
          <w:rFonts w:ascii="Times New Roman" w:hAnsi="Times New Roman" w:cs="Times New Roman"/>
          <w:b/>
          <w:sz w:val="24"/>
          <w:szCs w:val="24"/>
        </w:rPr>
      </w:pPr>
    </w:p>
    <w:p w14:paraId="4178E9AB" w14:textId="77777777" w:rsidR="006979E1" w:rsidRDefault="006979E1">
      <w:pPr>
        <w:rPr>
          <w:rFonts w:ascii="Times New Roman" w:hAnsi="Times New Roman" w:cs="Times New Roman"/>
          <w:b/>
          <w:sz w:val="24"/>
          <w:szCs w:val="24"/>
        </w:rPr>
      </w:pPr>
    </w:p>
    <w:p w14:paraId="2EE50E42" w14:textId="77777777" w:rsidR="006979E1" w:rsidRDefault="006979E1">
      <w:pPr>
        <w:rPr>
          <w:rFonts w:ascii="Times New Roman" w:hAnsi="Times New Roman" w:cs="Times New Roman"/>
          <w:b/>
          <w:sz w:val="24"/>
          <w:szCs w:val="24"/>
        </w:rPr>
      </w:pPr>
    </w:p>
    <w:p w14:paraId="314BEEDE" w14:textId="77777777" w:rsidR="006979E1" w:rsidRDefault="006979E1">
      <w:pPr>
        <w:rPr>
          <w:rFonts w:ascii="Times New Roman" w:hAnsi="Times New Roman" w:cs="Times New Roman"/>
          <w:b/>
          <w:sz w:val="24"/>
          <w:szCs w:val="24"/>
        </w:rPr>
      </w:pPr>
    </w:p>
    <w:p w14:paraId="25F94FFE" w14:textId="77777777" w:rsidR="006979E1" w:rsidRDefault="006979E1">
      <w:pPr>
        <w:rPr>
          <w:rFonts w:ascii="Times New Roman" w:hAnsi="Times New Roman" w:cs="Times New Roman"/>
          <w:b/>
          <w:sz w:val="24"/>
          <w:szCs w:val="24"/>
        </w:rPr>
      </w:pPr>
    </w:p>
    <w:p w14:paraId="417C5702" w14:textId="5A6CE994" w:rsidR="00005538" w:rsidRDefault="0053093F" w:rsidP="006979E1">
      <w:pPr>
        <w:rPr>
          <w:rFonts w:ascii="Times New Roman" w:hAnsi="Times New Roman" w:cs="Times New Roman"/>
          <w:b/>
          <w:sz w:val="24"/>
          <w:szCs w:val="24"/>
        </w:rPr>
      </w:pPr>
      <w:r>
        <w:rPr>
          <w:rFonts w:ascii="Times New Roman" w:hAnsi="Times New Roman" w:cs="Times New Roman"/>
          <w:b/>
          <w:sz w:val="24"/>
          <w:szCs w:val="24"/>
        </w:rPr>
        <w:br w:type="page"/>
      </w:r>
      <w:r w:rsidR="00240AE4" w:rsidRPr="001B4A25">
        <w:rPr>
          <w:rFonts w:ascii="Times New Roman" w:hAnsi="Times New Roman" w:cs="Times New Roman"/>
          <w:b/>
          <w:sz w:val="24"/>
          <w:szCs w:val="24"/>
        </w:rPr>
        <w:lastRenderedPageBreak/>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77777777"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 xml:space="preserve">How to cheat in motion simulation – comparing the engineering and fun ride approach to motion cueing, </w:t>
      </w:r>
      <w:r w:rsidRPr="001B4A25">
        <w:rPr>
          <w:rFonts w:ascii="Times New Roman" w:hAnsi="Times New Roman" w:cs="Times New Roman"/>
          <w:sz w:val="24"/>
          <w:szCs w:val="24"/>
        </w:rPr>
        <w:t>2001.</w:t>
      </w:r>
    </w:p>
    <w:p w14:paraId="33121953" w14:textId="77777777"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 narządu przedsionkowego człowieka  oraz zjawisk fizjologicznych towarzyszących ich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77777777" w:rsidR="00CC145A" w:rsidRP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Bosch 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rcin" w:date="2016-11-29T15:16:00Z" w:initials="M">
    <w:p w14:paraId="020075F2" w14:textId="77777777" w:rsidR="00634F5C" w:rsidRDefault="00634F5C">
      <w:pPr>
        <w:pStyle w:val="Tekstkomentarza"/>
      </w:pPr>
      <w:r>
        <w:rPr>
          <w:rStyle w:val="Odwoaniedokomentarza"/>
        </w:rPr>
        <w:annotationRef/>
      </w:r>
      <w:r>
        <w:t>Dodać rozdział jak już będzie :D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0075F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D0032F" w14:textId="77777777" w:rsidR="00981168" w:rsidRDefault="00981168" w:rsidP="00511498">
      <w:pPr>
        <w:spacing w:after="0" w:line="240" w:lineRule="auto"/>
      </w:pPr>
      <w:r>
        <w:separator/>
      </w:r>
    </w:p>
  </w:endnote>
  <w:endnote w:type="continuationSeparator" w:id="0">
    <w:p w14:paraId="2AB82328" w14:textId="77777777" w:rsidR="00981168" w:rsidRDefault="00981168"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7D834" w14:textId="77777777" w:rsidR="00981168" w:rsidRDefault="00981168" w:rsidP="00511498">
      <w:pPr>
        <w:spacing w:after="0" w:line="240" w:lineRule="auto"/>
      </w:pPr>
      <w:r>
        <w:separator/>
      </w:r>
    </w:p>
  </w:footnote>
  <w:footnote w:type="continuationSeparator" w:id="0">
    <w:p w14:paraId="083A44F5" w14:textId="77777777" w:rsidR="00981168" w:rsidRDefault="00981168"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5"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7"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13"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5"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7C860300"/>
    <w:multiLevelType w:val="hybridMultilevel"/>
    <w:tmpl w:val="781895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4"/>
  </w:num>
  <w:num w:numId="5">
    <w:abstractNumId w:val="11"/>
  </w:num>
  <w:num w:numId="6">
    <w:abstractNumId w:val="12"/>
  </w:num>
  <w:num w:numId="7">
    <w:abstractNumId w:val="16"/>
  </w:num>
  <w:num w:numId="8">
    <w:abstractNumId w:val="14"/>
  </w:num>
  <w:num w:numId="9">
    <w:abstractNumId w:val="3"/>
  </w:num>
  <w:num w:numId="10">
    <w:abstractNumId w:val="1"/>
  </w:num>
  <w:num w:numId="11">
    <w:abstractNumId w:val="8"/>
  </w:num>
  <w:num w:numId="12">
    <w:abstractNumId w:val="17"/>
  </w:num>
  <w:num w:numId="13">
    <w:abstractNumId w:val="5"/>
  </w:num>
  <w:num w:numId="14">
    <w:abstractNumId w:val="13"/>
  </w:num>
  <w:num w:numId="15">
    <w:abstractNumId w:val="15"/>
  </w:num>
  <w:num w:numId="16">
    <w:abstractNumId w:val="9"/>
  </w:num>
  <w:num w:numId="17">
    <w:abstractNumId w:val="7"/>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D58"/>
    <w:rsid w:val="00005538"/>
    <w:rsid w:val="000135C4"/>
    <w:rsid w:val="000410E6"/>
    <w:rsid w:val="000431BF"/>
    <w:rsid w:val="00046007"/>
    <w:rsid w:val="00052B46"/>
    <w:rsid w:val="00061AC7"/>
    <w:rsid w:val="0006433C"/>
    <w:rsid w:val="00072C6D"/>
    <w:rsid w:val="00082293"/>
    <w:rsid w:val="000C37B2"/>
    <w:rsid w:val="000C616B"/>
    <w:rsid w:val="000D052C"/>
    <w:rsid w:val="000D0662"/>
    <w:rsid w:val="000E31B9"/>
    <w:rsid w:val="000E78FF"/>
    <w:rsid w:val="000F201B"/>
    <w:rsid w:val="000F7786"/>
    <w:rsid w:val="000F7DEB"/>
    <w:rsid w:val="00142E99"/>
    <w:rsid w:val="00145D7F"/>
    <w:rsid w:val="00151D88"/>
    <w:rsid w:val="0018393A"/>
    <w:rsid w:val="001846FC"/>
    <w:rsid w:val="00192175"/>
    <w:rsid w:val="001A6FF5"/>
    <w:rsid w:val="001A7EF4"/>
    <w:rsid w:val="001B4A25"/>
    <w:rsid w:val="001C61F0"/>
    <w:rsid w:val="001D75B1"/>
    <w:rsid w:val="001F2976"/>
    <w:rsid w:val="0020761F"/>
    <w:rsid w:val="00210ADC"/>
    <w:rsid w:val="00216D21"/>
    <w:rsid w:val="0023660E"/>
    <w:rsid w:val="00240AE4"/>
    <w:rsid w:val="00251755"/>
    <w:rsid w:val="00255E8A"/>
    <w:rsid w:val="002716C4"/>
    <w:rsid w:val="00273414"/>
    <w:rsid w:val="00284B56"/>
    <w:rsid w:val="00290277"/>
    <w:rsid w:val="002967BF"/>
    <w:rsid w:val="002C464C"/>
    <w:rsid w:val="00314BB0"/>
    <w:rsid w:val="0034547B"/>
    <w:rsid w:val="00363630"/>
    <w:rsid w:val="003700D6"/>
    <w:rsid w:val="003928E1"/>
    <w:rsid w:val="00392A4A"/>
    <w:rsid w:val="00396E05"/>
    <w:rsid w:val="003A3661"/>
    <w:rsid w:val="003B518D"/>
    <w:rsid w:val="003C4E66"/>
    <w:rsid w:val="003D2B5B"/>
    <w:rsid w:val="003E6617"/>
    <w:rsid w:val="00405B98"/>
    <w:rsid w:val="00410DF3"/>
    <w:rsid w:val="00420806"/>
    <w:rsid w:val="0046530B"/>
    <w:rsid w:val="004730D7"/>
    <w:rsid w:val="00495FFC"/>
    <w:rsid w:val="00496CEA"/>
    <w:rsid w:val="004A3159"/>
    <w:rsid w:val="004C380B"/>
    <w:rsid w:val="004C4892"/>
    <w:rsid w:val="004E544E"/>
    <w:rsid w:val="004F18D8"/>
    <w:rsid w:val="004F1988"/>
    <w:rsid w:val="004F6921"/>
    <w:rsid w:val="00511498"/>
    <w:rsid w:val="00526ACF"/>
    <w:rsid w:val="0053093F"/>
    <w:rsid w:val="00533B62"/>
    <w:rsid w:val="005423A4"/>
    <w:rsid w:val="0055223A"/>
    <w:rsid w:val="00566F9F"/>
    <w:rsid w:val="00576617"/>
    <w:rsid w:val="005932B9"/>
    <w:rsid w:val="005A27D5"/>
    <w:rsid w:val="005A297C"/>
    <w:rsid w:val="005E0209"/>
    <w:rsid w:val="00634F5C"/>
    <w:rsid w:val="00635F41"/>
    <w:rsid w:val="00637438"/>
    <w:rsid w:val="006459B1"/>
    <w:rsid w:val="00665AE6"/>
    <w:rsid w:val="00690C3A"/>
    <w:rsid w:val="006912D8"/>
    <w:rsid w:val="00696CA5"/>
    <w:rsid w:val="006979E1"/>
    <w:rsid w:val="006A0E9C"/>
    <w:rsid w:val="006C5978"/>
    <w:rsid w:val="006E4340"/>
    <w:rsid w:val="006F4A9C"/>
    <w:rsid w:val="006F4FC7"/>
    <w:rsid w:val="00710C0B"/>
    <w:rsid w:val="00724544"/>
    <w:rsid w:val="0079001C"/>
    <w:rsid w:val="007B076D"/>
    <w:rsid w:val="007C6C39"/>
    <w:rsid w:val="007C7E98"/>
    <w:rsid w:val="007E422B"/>
    <w:rsid w:val="007F52D0"/>
    <w:rsid w:val="0087402A"/>
    <w:rsid w:val="0089569F"/>
    <w:rsid w:val="008B039E"/>
    <w:rsid w:val="008D72BF"/>
    <w:rsid w:val="008E3B05"/>
    <w:rsid w:val="008F5CCD"/>
    <w:rsid w:val="00904CE2"/>
    <w:rsid w:val="00905102"/>
    <w:rsid w:val="00931769"/>
    <w:rsid w:val="00954220"/>
    <w:rsid w:val="00981168"/>
    <w:rsid w:val="00981FA0"/>
    <w:rsid w:val="009D47EA"/>
    <w:rsid w:val="00A02E9A"/>
    <w:rsid w:val="00A13F56"/>
    <w:rsid w:val="00A26D13"/>
    <w:rsid w:val="00A54844"/>
    <w:rsid w:val="00A55A72"/>
    <w:rsid w:val="00A61484"/>
    <w:rsid w:val="00A86612"/>
    <w:rsid w:val="00A91DDC"/>
    <w:rsid w:val="00AA2CBC"/>
    <w:rsid w:val="00AA5DFB"/>
    <w:rsid w:val="00AB2499"/>
    <w:rsid w:val="00AD0C6B"/>
    <w:rsid w:val="00AD0E6E"/>
    <w:rsid w:val="00B33D7D"/>
    <w:rsid w:val="00B92B4D"/>
    <w:rsid w:val="00BD0E4F"/>
    <w:rsid w:val="00BF6AC0"/>
    <w:rsid w:val="00C07CEA"/>
    <w:rsid w:val="00C20840"/>
    <w:rsid w:val="00C24A5E"/>
    <w:rsid w:val="00C27A22"/>
    <w:rsid w:val="00C31420"/>
    <w:rsid w:val="00C61B57"/>
    <w:rsid w:val="00C82CB1"/>
    <w:rsid w:val="00C95F1A"/>
    <w:rsid w:val="00CA29ED"/>
    <w:rsid w:val="00CA63EB"/>
    <w:rsid w:val="00CB2FE2"/>
    <w:rsid w:val="00CB6D8A"/>
    <w:rsid w:val="00CC145A"/>
    <w:rsid w:val="00CC3C88"/>
    <w:rsid w:val="00D02235"/>
    <w:rsid w:val="00D05B08"/>
    <w:rsid w:val="00D1127D"/>
    <w:rsid w:val="00D14B00"/>
    <w:rsid w:val="00D36A6B"/>
    <w:rsid w:val="00D96A91"/>
    <w:rsid w:val="00E025A1"/>
    <w:rsid w:val="00E0730D"/>
    <w:rsid w:val="00E76AF8"/>
    <w:rsid w:val="00E974BF"/>
    <w:rsid w:val="00EB779E"/>
    <w:rsid w:val="00EC48EB"/>
    <w:rsid w:val="00EC74A7"/>
    <w:rsid w:val="00EE0572"/>
    <w:rsid w:val="00F00843"/>
    <w:rsid w:val="00F05C90"/>
    <w:rsid w:val="00F4276F"/>
    <w:rsid w:val="00F755A2"/>
    <w:rsid w:val="00FA76B3"/>
    <w:rsid w:val="00FB09C9"/>
    <w:rsid w:val="00FC47C5"/>
    <w:rsid w:val="00FD153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B5902-75BE-4ABA-9D95-8733B6361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5569</TotalTime>
  <Pages>18</Pages>
  <Words>3604</Words>
  <Characters>21630</Characters>
  <Application>Microsoft Office Word</Application>
  <DocSecurity>0</DocSecurity>
  <Lines>180</Lines>
  <Paragraphs>50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62</cp:revision>
  <dcterms:created xsi:type="dcterms:W3CDTF">2016-11-20T10:07:00Z</dcterms:created>
  <dcterms:modified xsi:type="dcterms:W3CDTF">2016-11-29T18:28:00Z</dcterms:modified>
</cp:coreProperties>
</file>