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Budget Report - July 25, 2025</w:t>
      </w:r>
    </w:p>
    <w:p>
      <w:pPr>
        <w:pStyle w:val="Heading1"/>
      </w:pPr>
      <w:r>
        <w:t>Executive Summary</w:t>
      </w:r>
    </w:p>
    <w:p>
      <w:r>
        <w:t>This report provides a comprehensive overview of budget allocation and expenditure status as of July 25, 2025.</w:t>
      </w:r>
    </w:p>
    <w:p>
      <w:r>
        <w:t>Key metrics include budget utilization rates, remaining fund allocation, and project-specific financial performance indicators.</w:t>
      </w:r>
    </w:p>
    <w:p>
      <w:pPr>
        <w:pStyle w:val="Heading1"/>
      </w:pPr>
      <w:r>
        <w:t>Budget Allocation Details</w:t>
      </w:r>
    </w:p>
    <w:p>
      <w:r>
        <w:t>Total Budget: $470,000 | Utilization Rate: 48.3% | Remaining: $243,002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Task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Budgeted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Spent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Remaining</w:t>
            </w:r>
          </w:p>
        </w:tc>
      </w:tr>
      <w:tr>
        <w:tc>
          <w:tcPr>
            <w:tcW w:type="dxa" w:w="2160"/>
          </w:tcPr>
          <w:p>
            <w:r>
              <w:t>1. Project planning</w:t>
            </w:r>
          </w:p>
        </w:tc>
        <w:tc>
          <w:tcPr>
            <w:tcW w:type="dxa" w:w="2160"/>
          </w:tcPr>
          <w:p>
            <w:r>
              <w:t>20,000</w:t>
            </w:r>
          </w:p>
        </w:tc>
        <w:tc>
          <w:tcPr>
            <w:tcW w:type="dxa" w:w="2160"/>
          </w:tcPr>
          <w:p>
            <w:r>
              <w:t>15,000</w:t>
            </w:r>
          </w:p>
        </w:tc>
        <w:tc>
          <w:tcPr>
            <w:tcW w:type="dxa" w:w="2160"/>
          </w:tcPr>
          <w:p>
            <w:r>
              <w:t>5,000</w:t>
            </w:r>
          </w:p>
        </w:tc>
      </w:tr>
      <w:tr>
        <w:tc>
          <w:tcPr>
            <w:tcW w:type="dxa" w:w="2160"/>
          </w:tcPr>
          <w:p>
            <w:r>
              <w:t>2. Implementation</w:t>
            </w:r>
          </w:p>
        </w:tc>
        <w:tc>
          <w:tcPr>
            <w:tcW w:type="dxa" w:w="2160"/>
          </w:tcPr>
          <w:p>
            <w:r>
              <w:t>150,000</w:t>
            </w:r>
          </w:p>
        </w:tc>
        <w:tc>
          <w:tcPr>
            <w:tcW w:type="dxa" w:w="2160"/>
          </w:tcPr>
          <w:p>
            <w:r>
              <w:t>86,499</w:t>
            </w:r>
          </w:p>
        </w:tc>
        <w:tc>
          <w:tcPr>
            <w:tcW w:type="dxa" w:w="2160"/>
          </w:tcPr>
          <w:p>
            <w:r>
              <w:t>63,501</w:t>
            </w:r>
          </w:p>
        </w:tc>
      </w:tr>
      <w:tr>
        <w:tc>
          <w:tcPr>
            <w:tcW w:type="dxa" w:w="2160"/>
          </w:tcPr>
          <w:p>
            <w:r>
              <w:t>3. Monitoring</w:t>
            </w:r>
          </w:p>
        </w:tc>
        <w:tc>
          <w:tcPr>
            <w:tcW w:type="dxa" w:w="2160"/>
          </w:tcPr>
          <w:p>
            <w:r>
              <w:t>50,000</w:t>
            </w:r>
          </w:p>
        </w:tc>
        <w:tc>
          <w:tcPr>
            <w:tcW w:type="dxa" w:w="2160"/>
          </w:tcPr>
          <w:p>
            <w:r>
              <w:t>10,000</w:t>
            </w:r>
          </w:p>
        </w:tc>
        <w:tc>
          <w:tcPr>
            <w:tcW w:type="dxa" w:w="2160"/>
          </w:tcPr>
          <w:p>
            <w:r>
              <w:t>40,000</w:t>
            </w:r>
          </w:p>
        </w:tc>
      </w:tr>
      <w:tr>
        <w:tc>
          <w:tcPr>
            <w:tcW w:type="dxa" w:w="2160"/>
          </w:tcPr>
          <w:p>
            <w:r>
              <w:t>4. Reporting</w:t>
            </w:r>
          </w:p>
        </w:tc>
        <w:tc>
          <w:tcPr>
            <w:tcW w:type="dxa" w:w="2160"/>
          </w:tcPr>
          <w:p>
            <w:r>
              <w:t>15,000</w:t>
            </w:r>
          </w:p>
        </w:tc>
        <w:tc>
          <w:tcPr>
            <w:tcW w:type="dxa" w:w="2160"/>
          </w:tcPr>
          <w:p>
            <w:r>
              <w:t>2,000</w:t>
            </w:r>
          </w:p>
        </w:tc>
        <w:tc>
          <w:tcPr>
            <w:tcW w:type="dxa" w:w="2160"/>
          </w:tcPr>
          <w:p>
            <w:r>
              <w:t>13,000</w:t>
            </w:r>
          </w:p>
        </w:tc>
      </w:tr>
      <w:tr>
        <w:tc>
          <w:tcPr>
            <w:tcW w:type="dxa" w:w="2160"/>
          </w:tcPr>
          <w:p>
            <w:r>
              <w:t>TOTALS</w:t>
            </w:r>
          </w:p>
        </w:tc>
        <w:tc>
          <w:tcPr>
            <w:tcW w:type="dxa" w:w="2160"/>
          </w:tcPr>
          <w:p>
            <w:r>
              <w:t>235,000</w:t>
            </w:r>
          </w:p>
        </w:tc>
        <w:tc>
          <w:tcPr>
            <w:tcW w:type="dxa" w:w="2160"/>
          </w:tcPr>
          <w:p>
            <w:r>
              <w:t>113,499</w:t>
            </w:r>
          </w:p>
        </w:tc>
        <w:tc>
          <w:tcPr>
            <w:tcW w:type="dxa" w:w="2160"/>
          </w:tcPr>
          <w:p>
            <w:r>
              <w:t>121,501</w:t>
            </w:r>
          </w:p>
        </w:tc>
      </w:tr>
    </w:tbl>
    <w:p>
      <w:pPr>
        <w:pStyle w:val="Heading1"/>
      </w:pPr>
      <w:r>
        <w:t>Key Findings</w:t>
      </w:r>
    </w:p>
    <w:p>
      <w:pPr>
        <w:pStyle w:val="ListBullet"/>
      </w:pPr>
      <w:r>
        <w:t>Overall budget utilization stands at 48.3%</w:t>
      </w:r>
    </w:p>
    <w:p>
      <w:pPr>
        <w:pStyle w:val="ListBullet"/>
      </w:pPr>
      <w:r>
        <w:t>Highest utilization: 1. Project planning at 75.0%</w:t>
      </w:r>
    </w:p>
    <w:p>
      <w:pPr>
        <w:pStyle w:val="ListBullet"/>
      </w:pPr>
      <w:r>
        <w:t>Lowest utilization: 4. Reporting at 13.3%</w:t>
      </w:r>
    </w:p>
    <w:p>
      <w:pPr>
        <w:pStyle w:val="ListBullet"/>
      </w:pPr>
      <w:r>
        <w:t>Total remaining funds: $243,002</w:t>
      </w:r>
    </w:p>
    <w:p>
      <w:pPr>
        <w:pStyle w:val="Heading1"/>
      </w:pPr>
      <w:r>
        <w:t>Budget Visualization</w:t>
      </w:r>
    </w:p>
    <w:p>
      <w:r>
        <w:t>The chart below provides a visual comparison of budgeted amounts versus remaining funds for each project component.</w:t>
      </w:r>
    </w:p>
    <w:p>
      <w:r>
        <w:drawing>
          <wp:inline xmlns:a="http://schemas.openxmlformats.org/drawingml/2006/main" xmlns:pic="http://schemas.openxmlformats.org/drawingml/2006/picture">
            <wp:extent cx="5943600" cy="3946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2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