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Report</w:t>
      </w:r>
    </w:p>
    <w:p>
      <w:pPr>
        <w:jc w:val="center"/>
      </w:pPr>
      <w:r>
        <w:t>May 10, 2026</w:t>
      </w:r>
    </w:p>
    <w:p>
      <w:pPr>
        <w:pStyle w:val="Heading1"/>
      </w:pPr>
      <w:r>
        <w:t>Summary</w:t>
      </w:r>
    </w:p>
    <w:p>
      <w:r>
        <w:t>Overall the progress of the project is as planned.</w:t>
      </w:r>
    </w:p>
    <w:p>
      <w:r>
        <w:t>:::{mermaid}</w:t>
      </w:r>
    </w:p>
    <w:p>
      <w:r>
        <w:t>graph LR;</w:t>
      </w:r>
    </w:p>
    <w:p>
      <w:r>
        <w:t xml:space="preserve">    A--&gt;B;</w:t>
      </w:r>
    </w:p>
    <w:p>
      <w:r>
        <w:t xml:space="preserve">    A--&gt;C;</w:t>
      </w:r>
    </w:p>
    <w:p>
      <w:r>
        <w:t xml:space="preserve">    B--&gt;D;</w:t>
      </w:r>
    </w:p>
    <w:p>
      <w:r>
        <w:t xml:space="preserve">    C--&gt;D;</w:t>
      </w:r>
    </w:p>
    <w:p>
      <w:r>
        <w:t>:::</w:t>
      </w:r>
    </w:p>
    <w:p>
      <w:pPr>
        <w:pStyle w:val="Heading1"/>
      </w:pPr>
      <w:r>
        <w:t>Budget</w:t>
      </w:r>
    </w:p>
    <w:p>
      <w:r>
        <w:t>The current budget is shown below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Remaining</w:t>
            </w:r>
          </w:p>
        </w:tc>
      </w:tr>
      <w:tr>
        <w:tc>
          <w:tcPr>
            <w:tcW w:type="dxa" w:w="2160"/>
          </w:tcPr>
          <w:p>
            <w:r>
              <w:t>1. Project planning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15,226</w:t>
            </w:r>
          </w:p>
        </w:tc>
        <w:tc>
          <w:tcPr>
            <w:tcW w:type="dxa" w:w="2160"/>
          </w:tcPr>
          <w:p>
            <w:r>
              <w:t>4,774</w:t>
            </w:r>
          </w:p>
        </w:tc>
      </w:tr>
      <w:tr>
        <w:tc>
          <w:tcPr>
            <w:tcW w:type="dxa" w:w="2160"/>
          </w:tcPr>
          <w:p>
            <w:r>
              <w:t>2. Implementation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 Staffing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  <w:tc>
          <w:tcPr>
            <w:tcW w:type="dxa" w:w="2160"/>
          </w:tcPr>
          <w:p>
            <w:r>
              <w:t>74,538</w:t>
            </w:r>
          </w:p>
        </w:tc>
        <w:tc>
          <w:tcPr>
            <w:tcW w:type="dxa" w:w="2160"/>
          </w:tcPr>
          <w:p>
            <w:r>
              <w:t>45,462</w:t>
            </w:r>
          </w:p>
        </w:tc>
      </w:tr>
      <w:tr>
        <w:tc>
          <w:tcPr>
            <w:tcW w:type="dxa" w:w="2160"/>
          </w:tcPr>
          <w:p>
            <w:r>
              <w:t>2.2 Equipment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12,500</w:t>
            </w:r>
          </w:p>
        </w:tc>
        <w:tc>
          <w:tcPr>
            <w:tcW w:type="dxa" w:w="2160"/>
          </w:tcPr>
          <w:p>
            <w:r>
              <w:t>17,500</w:t>
            </w:r>
          </w:p>
        </w:tc>
      </w:tr>
      <w:tr>
        <w:tc>
          <w:tcPr>
            <w:tcW w:type="dxa" w:w="2160"/>
          </w:tcPr>
          <w:p>
            <w:r>
              <w:t>2.3 Travel</w:t>
            </w:r>
          </w:p>
        </w:tc>
        <w:tc>
          <w:tcPr>
            <w:tcW w:type="dxa" w:w="2160"/>
          </w:tcPr>
          <w:p>
            <w:r>
              <w:t>40,000</w:t>
            </w:r>
          </w:p>
        </w:tc>
        <w:tc>
          <w:tcPr>
            <w:tcW w:type="dxa" w:w="2160"/>
          </w:tcPr>
          <w:p>
            <w:r>
              <w:t>9,929</w:t>
            </w:r>
          </w:p>
        </w:tc>
        <w:tc>
          <w:tcPr>
            <w:tcW w:type="dxa" w:w="2160"/>
          </w:tcPr>
          <w:p>
            <w:r>
              <w:t>30,071</w:t>
            </w:r>
          </w:p>
        </w:tc>
      </w:tr>
      <w:tr>
        <w:tc>
          <w:tcPr>
            <w:tcW w:type="dxa" w:w="2160"/>
          </w:tcPr>
          <w:p>
            <w:r>
              <w:t>sub-total</w:t>
            </w:r>
          </w:p>
        </w:tc>
        <w:tc>
          <w:tcPr>
            <w:tcW w:type="dxa" w:w="2160"/>
          </w:tcPr>
          <w:p>
            <w:r>
              <w:t>190,000</w:t>
            </w:r>
          </w:p>
        </w:tc>
        <w:tc>
          <w:tcPr>
            <w:tcW w:type="dxa" w:w="2160"/>
          </w:tcPr>
          <w:p>
            <w:r>
              <w:t>96,967</w:t>
            </w:r>
          </w:p>
        </w:tc>
        <w:tc>
          <w:tcPr>
            <w:tcW w:type="dxa" w:w="2160"/>
          </w:tcPr>
          <w:p>
            <w:r>
              <w:t>93,033</w:t>
            </w:r>
          </w:p>
        </w:tc>
      </w:tr>
      <w:tr>
        <w:tc>
          <w:tcPr>
            <w:tcW w:type="dxa" w:w="2160"/>
          </w:tcPr>
          <w:p>
            <w:r>
              <w:t>3. Monitoring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 Science review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3.2 Field collection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25,405</w:t>
            </w:r>
          </w:p>
        </w:tc>
        <w:tc>
          <w:tcPr>
            <w:tcW w:type="dxa" w:w="2160"/>
          </w:tcPr>
          <w:p>
            <w:r>
              <w:t>24,595</w:t>
            </w:r>
          </w:p>
        </w:tc>
      </w:tr>
      <w:tr>
        <w:tc>
          <w:tcPr>
            <w:tcW w:type="dxa" w:w="2160"/>
          </w:tcPr>
          <w:p>
            <w:r>
              <w:t>3.3 Data analysis</w:t>
            </w:r>
          </w:p>
        </w:tc>
        <w:tc>
          <w:tcPr>
            <w:tcW w:type="dxa" w:w="2160"/>
          </w:tcPr>
          <w:p>
            <w:r>
              <w:t>75,000</w:t>
            </w:r>
          </w:p>
        </w:tc>
        <w:tc>
          <w:tcPr>
            <w:tcW w:type="dxa" w:w="2160"/>
          </w:tcPr>
          <w:p>
            <w:r>
              <w:t>23,232</w:t>
            </w:r>
          </w:p>
        </w:tc>
        <w:tc>
          <w:tcPr>
            <w:tcW w:type="dxa" w:w="2160"/>
          </w:tcPr>
          <w:p>
            <w:r>
              <w:t>51,768</w:t>
            </w:r>
          </w:p>
        </w:tc>
      </w:tr>
      <w:tr>
        <w:tc>
          <w:tcPr>
            <w:tcW w:type="dxa" w:w="2160"/>
          </w:tcPr>
          <w:p>
            <w:r>
              <w:t>3.4 Data viz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  <w:tc>
          <w:tcPr>
            <w:tcW w:type="dxa" w:w="2160"/>
          </w:tcPr>
          <w:p>
            <w:r>
              <w:t>7,895</w:t>
            </w:r>
          </w:p>
        </w:tc>
        <w:tc>
          <w:tcPr>
            <w:tcW w:type="dxa" w:w="2160"/>
          </w:tcPr>
          <w:p>
            <w:r>
              <w:t>82,105</w:t>
            </w:r>
          </w:p>
        </w:tc>
      </w:tr>
      <w:tr>
        <w:tc>
          <w:tcPr>
            <w:tcW w:type="dxa" w:w="2160"/>
          </w:tcPr>
          <w:p>
            <w:r>
              <w:t>sub-total</w:t>
            </w:r>
          </w:p>
        </w:tc>
        <w:tc>
          <w:tcPr>
            <w:tcW w:type="dxa" w:w="2160"/>
          </w:tcPr>
          <w:p>
            <w:r>
              <w:t>220,000</w:t>
            </w:r>
          </w:p>
        </w:tc>
        <w:tc>
          <w:tcPr>
            <w:tcW w:type="dxa" w:w="2160"/>
          </w:tcPr>
          <w:p>
            <w:r>
              <w:t>61,532</w:t>
            </w:r>
          </w:p>
        </w:tc>
        <w:tc>
          <w:tcPr>
            <w:tcW w:type="dxa" w:w="2160"/>
          </w:tcPr>
          <w:p>
            <w:r>
              <w:t>158,468</w:t>
            </w:r>
          </w:p>
        </w:tc>
      </w:tr>
      <w:tr>
        <w:tc>
          <w:tcPr>
            <w:tcW w:type="dxa" w:w="2160"/>
          </w:tcPr>
          <w:p>
            <w:r>
              <w:t>4. Reporting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</w:tr>
      <w:tr>
        <w:tc>
          <w:tcPr>
            <w:tcW w:type="dxa" w:w="2160"/>
          </w:tcPr>
          <w:p>
            <w:r>
              <w:t>total project</w:t>
            </w:r>
          </w:p>
        </w:tc>
        <w:tc>
          <w:tcPr>
            <w:tcW w:type="dxa" w:w="2160"/>
          </w:tcPr>
          <w:p>
            <w:r>
              <w:t>345,000</w:t>
            </w:r>
          </w:p>
        </w:tc>
        <w:tc>
          <w:tcPr>
            <w:tcW w:type="dxa" w:w="2160"/>
          </w:tcPr>
          <w:p>
            <w:r>
              <w:t>127,193</w:t>
            </w:r>
          </w:p>
        </w:tc>
        <w:tc>
          <w:tcPr>
            <w:tcW w:type="dxa" w:w="2160"/>
          </w:tcPr>
          <w:p>
            <w:r>
              <w:t>112,807</w:t>
            </w:r>
          </w:p>
        </w:tc>
      </w:tr>
      <w:tr>
        <w:tc>
          <w:tcPr>
            <w:tcW w:type="dxa" w:w="2160"/>
          </w:tcPr>
          <w:p>
            <w:r>
              <w:t>indirect (10%)</w:t>
            </w:r>
          </w:p>
        </w:tc>
        <w:tc>
          <w:tcPr>
            <w:tcW w:type="dxa" w:w="2160"/>
          </w:tcPr>
          <w:p>
            <w:r>
              <w:t>34,500</w:t>
            </w:r>
          </w:p>
        </w:tc>
        <w:tc>
          <w:tcPr>
            <w:tcW w:type="dxa" w:w="2160"/>
          </w:tcPr>
          <w:p>
            <w:r>
              <w:t>12,719.30</w:t>
            </w:r>
          </w:p>
        </w:tc>
        <w:tc>
          <w:tcPr>
            <w:tcW w:type="dxa" w:w="2160"/>
          </w:tcPr>
          <w:p>
            <w:r>
              <w:t>11,280.70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379,500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139,912.30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124,087.70</w:t>
            </w:r>
          </w:p>
        </w:tc>
      </w:tr>
    </w:tbl>
    <w:p>
      <w:pPr>
        <w:pStyle w:val="Heading1"/>
      </w:pPr>
      <w:r>
        <w:t>Budget Comments</w:t>
      </w:r>
    </w:p>
    <w:p>
      <w:r>
        <w:t>We can see that the project is currently under budget and on track. One notable area is the Materials category where we are approaching the allocated amount.</w:t>
      </w:r>
    </w:p>
    <w:p>
      <w:pPr>
        <w:pStyle w:val="Heading1"/>
      </w:pPr>
      <w:r>
        <w:t>Deliverables Progress</w:t>
      </w:r>
    </w:p>
    <w:p>
      <w:r>
        <w:t>Progress on key project deliverables remains on track with established timelines.</w:t>
      </w:r>
    </w:p>
    <w:p>
      <w:pPr>
        <w:pStyle w:val="ListBullet"/>
      </w:pPr>
      <w:r>
        <w:t>Data collection phase completed successfully</w:t>
      </w:r>
    </w:p>
    <w:p>
      <w:pPr>
        <w:pStyle w:val="ListBullet"/>
      </w:pPr>
      <w:r>
        <w:t>We shit the brick on wall hangings</w:t>
      </w:r>
    </w:p>
    <w:p>
      <w:pPr>
        <w:pStyle w:val="ListBullet"/>
      </w:pPr>
      <w:r>
        <w:t>Analysis framework implemented and tested</w:t>
      </w:r>
    </w:p>
    <w:p>
      <w:pPr>
        <w:pStyle w:val="ListBullet"/>
      </w:pPr>
      <w:r>
        <w:t>Initial report drafts under review</w:t>
      </w:r>
    </w:p>
    <w:p>
      <w:pPr>
        <w:pStyle w:val="ListBullet"/>
      </w:pPr>
      <w:r>
        <w:t>Stakeholder feedback sessions scheduled</w:t>
      </w:r>
    </w:p>
    <w:p>
      <w:pPr>
        <w:pStyle w:val="Heading1"/>
      </w:pPr>
      <w:r>
        <w:t>Challenges</w:t>
      </w:r>
    </w:p>
    <w:p>
      <w:r>
        <w:t>Current challenges and mitigation strategies being implemented:</w:t>
      </w:r>
    </w:p>
    <w:p>
      <w:pPr>
        <w:pStyle w:val="ListBullet"/>
      </w:pPr>
      <w:r>
        <w:t>Resource allocation requires careful monitoring due to increased material costs</w:t>
      </w:r>
    </w:p>
    <w:p>
      <w:pPr>
        <w:pStyle w:val="ListBullet"/>
      </w:pPr>
      <w:r>
        <w:t>Timeline adjustments made to accommodate additional quality assurance requirements</w:t>
      </w:r>
    </w:p>
    <w:p>
      <w:pPr>
        <w:pStyle w:val="ListBullet"/>
      </w:pPr>
      <w:r>
        <w:t>Technical integration challenges resolved through vendor collaboration</w:t>
      </w:r>
    </w:p>
    <w:p>
      <w:pPr>
        <w:pStyle w:val="ListBullet"/>
      </w:pPr>
      <w:r>
        <w:t>Staff scheduling optimized to maintain project momentum</w:t>
      </w:r>
    </w:p>
    <w:p>
      <w:pPr>
        <w:pStyle w:val="Heading1"/>
      </w:pPr>
      <w:r>
        <w:t>Next Period Activities</w:t>
      </w:r>
    </w:p>
    <w:p>
      <w:r>
        <w:t>Planned activities for the upcoming reporting period:</w:t>
      </w:r>
    </w:p>
    <w:p>
      <w:pPr>
        <w:pStyle w:val="ListBullet"/>
      </w:pPr>
      <w:r>
        <w:t>Complete final data analysis and validation</w:t>
      </w:r>
    </w:p>
    <w:p>
      <w:pPr>
        <w:pStyle w:val="ListBullet"/>
      </w:pPr>
      <w:r>
        <w:t>Conduct stakeholder review meetings for preliminary findings</w:t>
      </w:r>
    </w:p>
    <w:p>
      <w:pPr>
        <w:pStyle w:val="ListBullet"/>
      </w:pPr>
      <w:r>
        <w:t>Prepare comprehensive final report documentation</w:t>
      </w:r>
    </w:p>
    <w:p>
      <w:pPr>
        <w:pStyle w:val="ListBullet"/>
      </w:pPr>
      <w:r>
        <w:t>Initiate knowledge transfer and training sessions</w:t>
      </w:r>
    </w:p>
    <w:p>
      <w:pPr>
        <w:pStyle w:val="ListBullet"/>
      </w:pPr>
      <w:r>
        <w:t>Plan project closure and evaluation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