
<file path=[Content_Types].xml><?xml version="1.0" encoding="utf-8"?>
<Types xmlns="http://schemas.openxmlformats.org/package/2006/content-types">
  <Default Extension="xml" ContentType="application/xml"/>
  <Default Extension="wmf" ContentType="image/x-wmf"/>
  <Default Extension="bin" ContentType="application/vnd.openxmlformats-officedocument.oleObject"/>
  <Default Extension="rels" ContentType="application/vnd.openxmlformats-package.relationships+xml"/>
  <Default Extension="jpeg" ContentType="image/jpeg"/>
  <Default Extension="png" ContentType="image/png"/>
  <Override PartName="/docProps/core.xml" ContentType="application/vnd.openxmlformats-package.core-properties+xml"/>
  <Override PartName="/word/webSettings.xml" ContentType="application/vnd.openxmlformats-officedocument.wordprocessingml.webSettings+xml"/>
  <Override PartName="/docProps/app.xml" ContentType="application/vnd.openxmlformats-officedocument.extended-properties+xml"/>
  <Override PartName="/word/settings.xml" ContentType="application/vnd.openxmlformats-officedocument.wordprocessingml.settings+xml"/>
  <Override PartName="/word/document.xml" ContentType="application/vnd.openxmlformats-officedocument.wordprocessingml.document.main+xml"/>
  <Override PartName="/word/styles.xml" ContentType="application/vnd.openxmlformats-officedocument.wordprocessingml.styles+xml"/>
  <Override PartName="/word/fontTable.xml" ContentType="application/vnd.openxmlformats-officedocument.wordprocessingml.fontTable+xml"/>
  <Override PartName="/word/theme/theme1.xml" ContentType="application/vnd.openxmlformats-officedocument.theme+xml"/>
  <Override PartName="/word/numbering.xml" ContentType="application/vnd.openxmlformats-officedocument.wordprocessingml.numbering+xml"/>
  <Override PartName="/word/endnotes.xml" ContentType="application/vnd.openxmlformats-officedocument.wordprocessingml.endnote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pPr>
        <w:pStyle w:val="736"/>
        <w:pBdr/>
        <w:spacing/>
        <w:ind/>
        <w:rPr/>
      </w:pPr>
      <w:r>
        <w:t xml:space="preserve">Forest Biomass Solutions</w:t>
      </w:r>
      <w:r/>
    </w:p>
    <w:p>
      <w:pPr>
        <w:pStyle w:val="739"/>
        <w:pBdr/>
        <w:spacing/>
        <w:ind/>
        <w:rPr>
          <w:highlight w:val="none"/>
        </w:rPr>
      </w:pPr>
      <w:r>
        <w:t xml:space="preserve">Vance Russell, Joshua Harrison</w:t>
      </w:r>
      <w:r/>
    </w:p>
    <w:p w14:paraId="69F70578">
      <w:pPr>
        <w:pStyle w:val="739"/>
        <w:pBdr/>
        <w:spacing/>
        <w:ind/>
        <w:rPr/>
      </w:pPr>
      <w:r>
        <w:rPr>
          <w:highlight w:val="none"/>
        </w:rPr>
      </w:r>
      <w:r>
        <w:rPr>
          <w:highlight w:val="none"/>
        </w:rPr>
      </w:r>
      <w:r>
        <w:rPr>
          <w:highlight w:val="none"/>
        </w:rPr>
      </w:r>
    </w:p>
    <w:p>
      <w:pPr>
        <w:pStyle w:val="737"/>
        <w:pBdr/>
        <w:spacing/>
        <w:ind/>
        <w:rPr/>
      </w:pPr>
      <w:r>
        <w:t xml:space="preserve">Takeaways</w:t>
      </w:r>
      <w:r/>
    </w:p>
    <w:p>
      <w:pPr>
        <w:pStyle w:val="747"/>
        <w:numPr>
          <w:ilvl w:val="0"/>
          <w:numId w:val="2"/>
        </w:numPr>
        <w:pBdr/>
        <w:spacing/>
        <w:ind/>
        <w:rPr/>
      </w:pPr>
      <w:r>
        <w:t xml:space="preserve">The issue at hand is whether active forest man</w:t>
      </w:r>
      <w:r>
        <w:t xml:space="preserve">agement is ecologically legitimate under novel climate conditions. We believe that ecological forest management following the guidelines outlined in GTR-220, coupled with prescribed fire maintenance, will create more resilient forests and reduce fire risk </w:t>
      </w:r>
      <w:r>
        <w:t xml:space="preserve">(</w:t>
      </w:r>
      <w:r>
        <w:t xml:space="preserve">North </w:t>
      </w:r>
      <w:r>
        <w:rPr>
          <w:i/>
          <w:iCs/>
        </w:rPr>
        <w:t xml:space="preserve">et al.</w:t>
      </w:r>
      <w:r>
        <w:t xml:space="preserve">, 2009</w:t>
      </w:r>
      <w:r>
        <w:t xml:space="preserve">)</w:t>
      </w:r>
      <w:r>
        <w:t xml:space="preserve">.</w:t>
      </w:r>
      <w:r/>
    </w:p>
    <w:p>
      <w:pPr>
        <w:pStyle w:val="747"/>
        <w:numPr>
          <w:ilvl w:val="0"/>
          <w:numId w:val="2"/>
        </w:numPr>
        <w:pBdr/>
        <w:spacing/>
        <w:ind/>
        <w:rPr/>
      </w:pPr>
      <w:r>
        <w:t xml:space="preserve">Biomass utilization is a downstream process of fo</w:t>
      </w:r>
      <w:r>
        <w:t xml:space="preserve">rest health treatments. It is not a driver of logging. In mitigating wildfire, we need to make the distinction between 1. sawtimber, 2. unavoidable treatment residues, and 3. excess forest biomass streams that exist whether or not there’s an energy market.</w:t>
      </w:r>
      <w:r/>
    </w:p>
    <w:p>
      <w:pPr>
        <w:pStyle w:val="747"/>
        <w:numPr>
          <w:ilvl w:val="0"/>
          <w:numId w:val="2"/>
        </w:numPr>
        <w:pBdr/>
        <w:spacing/>
        <w:ind/>
        <w:rPr/>
      </w:pPr>
      <w:r>
        <w:t xml:space="preserve">Continu</w:t>
      </w:r>
      <w:r>
        <w:t xml:space="preserve">ed business as usual will mean that California’s forests continue being a net emitter of carbon. Biomass utilization is not free of greenhouse gas emissions; however, it is part of a solution to greatly reduce massive emissions from uncontrolled wildfires.</w:t>
      </w:r>
      <w:r/>
    </w:p>
    <w:p>
      <w:pPr>
        <w:pStyle w:val="747"/>
        <w:numPr>
          <w:ilvl w:val="0"/>
          <w:numId w:val="2"/>
        </w:numPr>
        <w:pBdr/>
        <w:spacing/>
        <w:ind/>
        <w:rPr/>
      </w:pPr>
      <w:r>
        <w:t xml:space="preserve">Economics</w:t>
      </w:r>
      <w:r/>
    </w:p>
    <w:p>
      <w:pPr>
        <w:pStyle w:val="747"/>
        <w:numPr>
          <w:ilvl w:val="0"/>
          <w:numId w:val="2"/>
        </w:numPr>
        <w:pBdr/>
        <w:spacing/>
        <w:ind/>
        <w:rPr/>
      </w:pPr>
      <w:r>
        <w:t xml:space="preserve">Policies that focus on reducing emissions from biomass while integrating forest health solutions with climate change are critical to the long-term biodiversity and human health throughout California and the West.</w:t>
      </w:r>
      <w:r/>
      <w:r>
        <w:rPr>
          <w:highlight w:val="none"/>
        </w:rPr>
      </w:r>
      <w:r>
        <w:rPr>
          <w:highlight w:val="none"/>
        </w:rPr>
      </w:r>
      <w:r>
        <w:rPr>
          <w:highlight w:val="none"/>
        </w:rPr>
      </w:r>
      <w:r/>
    </w:p>
    <w:p w14:paraId="58BEB006">
      <w:pPr>
        <w:pStyle w:val="737"/>
        <w:pBdr/>
        <w:spacing/>
        <w:ind/>
        <w:rPr/>
      </w:pPr>
      <w:r>
        <w:rPr>
          <w:highlight w:val="none"/>
        </w:rPr>
      </w:r>
      <w:r>
        <w:rPr>
          <w:highlight w:val="none"/>
        </w:rPr>
      </w:r>
      <w:r>
        <w:rPr>
          <w:highlight w:val="none"/>
        </w:rPr>
      </w:r>
    </w:p>
    <w:p>
      <w:pPr>
        <w:pStyle w:val="737"/>
        <w:pBdr/>
        <w:spacing/>
        <w:ind/>
        <w:rPr>
          <w:highlight w:val="none"/>
        </w:rPr>
      </w:pPr>
      <w:r>
        <w:t xml:space="preserve">Background</w:t>
      </w:r>
      <w:r/>
    </w:p>
    <w:p>
      <w:pPr>
        <w:pBdr/>
        <w:spacing/>
        <w:ind/>
        <w:rPr/>
      </w:pPr>
      <w:r>
        <w:t xml:space="preserve">In December 2025, Shaye Wolf published a </w:t>
      </w:r>
      <w:hyperlink r:id="rId10" w:tooltip="https://calmatters.org/commentary/2025/12/biomass-california-energy-wildfire-problems/" w:history="1">
        <w:r>
          <w:rPr>
            <w:rStyle w:val="748"/>
          </w:rPr>
          <w:t xml:space="preserve">commentary</w:t>
        </w:r>
      </w:hyperlink>
      <w:r>
        <w:t xml:space="preserve"> claiming biomass is a money pit that won’t solve California’s energy or wildfir</w:t>
      </w:r>
      <w:r>
        <w:t xml:space="preserve">e problems. The piece cited research from authors whose work has been discredited or debunked by a majority of climate and forest scientists. It also made several claims that were neither cited nor accurate. Shortly afterward, Matt Dias of the California F</w:t>
      </w:r>
      <w:r>
        <w:t xml:space="preserve">orestry Association responded, arguing that biomass utilization isn’t primarily about renewable energy production—rather, the real issue is confronting the wildfire crisis. We now have a perspective from an environmental group and a response from industry.</w:t>
      </w:r>
      <w:r/>
    </w:p>
    <w:p>
      <w:pPr>
        <w:pBdr/>
        <w:spacing/>
        <w:ind/>
        <w:rPr/>
      </w:pPr>
      <w:r>
        <w:t xml:space="preserve">This article examines the need for forest health treatments that produce biomass and debunks common myths around its utilization. We then proceed to broader wildfire disinformation</w:t>
      </w:r>
      <w:r>
        <w:rPr>
          <w:rStyle w:val="749"/>
        </w:rPr>
        <w:footnoteReference w:id="2"/>
      </w:r>
      <w:r>
        <w:t xml:space="preserve">, discuss impacts of forest health on biodiversity, and provide broad solutions.</w:t>
      </w:r>
      <w:r/>
    </w:p>
    <w:p>
      <w:pPr>
        <w:pStyle w:val="737"/>
        <w:pBdr/>
        <w:spacing/>
        <w:ind/>
        <w:rPr/>
      </w:pPr>
      <w:r>
        <w:t xml:space="preserve">Biomass</w:t>
      </w:r>
      <w:r/>
    </w:p>
    <w:p>
      <w:pPr>
        <w:pBdr/>
        <w:spacing/>
        <w:ind/>
        <w:rPr/>
      </w:pPr>
      <w:r>
        <w:t xml:space="preserve">Many biomass critiques rely on broader wildfire myths, e.g</w:t>
      </w:r>
      <w:r>
        <w:t xml:space="preserve">., “fires are mostly shrubland,” “thinning increases fire severity,” “forests should be left alone”, or “thinning is an excuse for logging”. Disinformation in this realm becomes a mechanism by which forest management and biomass are broadly maligned withou</w:t>
      </w:r>
      <w:r>
        <w:t xml:space="preserve">t nuance. Because of this, we get a singular argument along the lines of misunderstood fire ecology -&gt; misdiagnosed forest conditions -&gt; misframed biomass debate -&gt; bad policy outcomes. This result does nothing to mitigate the wildfire problem in the West.</w:t>
      </w:r>
      <w:r/>
    </w:p>
    <w:p>
      <w:pPr>
        <w:pStyle w:val="738"/>
        <w:pBdr/>
        <w:spacing/>
        <w:ind/>
        <w:rPr/>
      </w:pPr>
      <w:r>
        <w:t xml:space="preserve">THE disagreement</w:t>
      </w:r>
      <w:r/>
    </w:p>
    <w:p>
      <w:pPr>
        <w:pBdr/>
        <w:spacing/>
        <w:ind/>
        <w:rPr/>
      </w:pPr>
      <w:r>
        <w:t xml:space="preserve">In reality, the debate isn’t really about biomass. It’s about whether active forest management is ecologica</w:t>
      </w:r>
      <w:r>
        <w:t xml:space="preserve">lly legitimate under novel climate conditions. CBD’s position implicitly says restraint and retreat are the answer; yours says intervention, done carefully, is unavoidable. Surfacing that philosophical split would make the argument clearer and more honest.</w:t>
      </w:r>
      <w:r/>
    </w:p>
    <w:p>
      <w:pPr>
        <w:pStyle w:val="738"/>
        <w:pBdr/>
        <w:spacing/>
        <w:ind/>
        <w:rPr/>
      </w:pPr>
      <w:r>
        <w:t xml:space="preserve">Forest residuals</w:t>
      </w:r>
      <w:r/>
    </w:p>
    <w:p>
      <w:pPr>
        <w:pBdr/>
        <w:spacing/>
        <w:ind/>
        <w:rPr/>
      </w:pPr>
      <w:r>
        <w:t xml:space="preserve">Biomass utilization is a critical downstream process of forest health treatments. It is not a driver of logging. In mitigating wildfire, we need to make the distinction between 1. sawtimber, 2. unavoidable treatment res</w:t>
      </w:r>
      <w:r>
        <w:t xml:space="preserve">idues, and 3. Excess forest biomass or residual streams exist whether or not there’s an energy market. We also need to make it clear that sawtimber, clearcutting, or excessive forest harvesting cannot be conflated with forest health or wildfire mitigation.</w:t>
      </w:r>
      <w:r/>
    </w:p>
    <w:p>
      <w:pPr>
        <w:pStyle w:val="738"/>
        <w:pBdr/>
        <w:spacing/>
        <w:ind/>
        <w:rPr/>
      </w:pPr>
      <w:r>
        <w:t xml:space="preserve">Burning &amp; air quality</w:t>
      </w:r>
      <w:r/>
    </w:p>
    <w:p>
      <w:pPr>
        <w:pBdr/>
        <w:spacing/>
        <w:ind/>
        <w:rPr/>
      </w:pPr>
      <w:r>
        <w:t xml:space="preserve">Let’s </w:t>
      </w:r>
      <w:r>
        <w:t xml:space="preserve">acknowledge that older biomass plants were dirty, but modern regulations, controls, and siting are helping to mitigate that issue. These and environmental justice impacts from siting facilities in disadvantaged communities can be further strengthened with </w:t>
      </w:r>
      <w:r>
        <w:t xml:space="preserve">strong CEQA and other environmental policies. Nevertheless poor air quality and greenhouse gas emissions from wildfires dwarf regulated point sources. The nearly million acre Dixie fire, California’s second largest wildfire, emitted 37 million tonnes of CO</w:t>
      </w:r>
      <w:r>
        <w:rPr>
          <w:vertAlign w:val="subscript"/>
        </w:rPr>
        <w:t xml:space="preserve">2e</w:t>
      </w:r>
      <w:r>
        <w:t xml:space="preserve"> or the equivalent emissions from electricity consumption of nearly 5 million households </w:t>
      </w:r>
      <w:r>
        <w:t xml:space="preserve">(</w:t>
      </w:r>
      <w:r>
        <w:t xml:space="preserve">Baldassare, 2024</w:t>
      </w:r>
      <w:r>
        <w:t xml:space="preserve">)</w:t>
      </w:r>
      <w:r>
        <w:t xml:space="preserve">. In 2020 wildfires emitted 127 million tonnoes of CO</w:t>
      </w:r>
      <w:r>
        <w:rPr>
          <w:vertAlign w:val="subscript"/>
        </w:rPr>
        <w:t xml:space="preserve">2e</w:t>
      </w:r>
      <w:r>
        <w:t xml:space="preserve"> nearly two times higher than California’s total greenhouse gas emissions reductions achieved since 2003 </w:t>
      </w:r>
      <w:r>
        <w:t xml:space="preserve">(</w:t>
      </w:r>
      <w:r>
        <w:t xml:space="preserve">Jerrett </w:t>
      </w:r>
      <w:r>
        <w:rPr>
          <w:i/>
          <w:iCs/>
        </w:rPr>
        <w:t xml:space="preserve">et al.</w:t>
      </w:r>
      <w:r>
        <w:t xml:space="preserve">, 2022</w:t>
      </w:r>
      <w:r>
        <w:t xml:space="preserve">)</w:t>
      </w:r>
      <w:r>
        <w:t xml:space="preserve">.</w:t>
      </w:r>
      <w:r/>
    </w:p>
    <w:p>
      <w:pPr>
        <w:pBdr/>
        <w:spacing/>
        <w:ind/>
        <w:rPr/>
      </w:pPr>
      <w:r>
        <w:t xml:space="preserve">Wolf suggests leaving biomass residues in the forest. Masticating on site, lopping and pilling, or removin</w:t>
      </w:r>
      <w:r>
        <w:t xml:space="preserve">g residue to landings has long been practiced at thinning sites. But the accumulation of materials is overwhelming. A study showed that there are approximately 150,000 acres of piles representing 1,000,000 tones with 78% of these materials on public lands </w:t>
      </w:r>
      <w:r>
        <w:t xml:space="preserve">(</w:t>
      </w:r>
      <w:r>
        <w:t xml:space="preserve">Darlington </w:t>
      </w:r>
      <w:r>
        <w:rPr>
          <w:i/>
          <w:iCs/>
        </w:rPr>
        <w:t xml:space="preserve">et al.</w:t>
      </w:r>
      <w:r>
        <w:t xml:space="preserve">, 2023</w:t>
      </w:r>
      <w:r>
        <w:t xml:space="preserve">)</w:t>
      </w:r>
      <w:r>
        <w:t xml:space="preserve">.</w:t>
      </w:r>
      <w:r>
        <w:rPr>
          <w:rStyle w:val="749"/>
        </w:rPr>
        <w:footnoteReference w:id="3"/>
      </w:r>
      <w:r>
        <w:t xml:space="preserve"> Even disposing of those piles by burning is an episodic, unregulated process that would be much more harmful than utilization in long-term wood products or burning at a facility.</w:t>
      </w:r>
      <w:r/>
    </w:p>
    <w:p>
      <w:pPr>
        <w:pStyle w:val="738"/>
        <w:pBdr/>
        <w:spacing/>
        <w:ind/>
        <w:rPr/>
      </w:pPr>
      <w:r>
        <w:t xml:space="preserve">Energy vs. material flow</w:t>
      </w:r>
      <w:r/>
    </w:p>
    <w:p>
      <w:pPr>
        <w:pBdr/>
        <w:spacing/>
        <w:ind/>
        <w:rPr/>
      </w:pPr>
      <w:r>
        <w:t xml:space="preserve">We need to separate “biomass as energy” from “biomass as material flow management". Wolf collapses everything into burning trees for electricity. Biomass utilization is neither of these  an energy silver bullet nor an unending consu</w:t>
      </w:r>
      <w:r>
        <w:t xml:space="preserve">mer of timber and spewer of wood smoke from giant burning plants. Biomass utilization is one of many solutions to California’s wildfire crisis, as the century-long suppression of fires has created unnatural conditions in most forests, making them more susc</w:t>
      </w:r>
      <w:r>
        <w:t xml:space="preserve">eptible to disease, fire, and other threats related to climate change. We argue for a broader solution: managing unavoidable residues across multiple uses (materials, combined heat and power, heat, and biochar) as part of a landscape risk reduction system.</w:t>
      </w:r>
      <w:r/>
    </w:p>
    <w:p>
      <w:pPr>
        <w:pStyle w:val="738"/>
        <w:pBdr/>
        <w:spacing/>
        <w:ind/>
        <w:rPr/>
      </w:pPr>
      <w:r>
        <w:t xml:space="preserve">Economics</w:t>
      </w:r>
      <w:r/>
    </w:p>
    <w:p>
      <w:pPr>
        <w:pBdr/>
        <w:spacing/>
        <w:ind/>
        <w:rPr/>
      </w:pPr>
      <w:r>
        <w:t xml:space="preserve">Increased forest management, through the use of either hand/mechanical treatments or prescribed fire, can reduce fire suppression costs relative to recent practices by more than US$400,000 per year </w:t>
      </w:r>
      <w:r>
        <w:t xml:space="preserve">(</w:t>
      </w:r>
      <w:r>
        <w:t xml:space="preserve">Holland </w:t>
      </w:r>
      <w:r>
        <w:rPr>
          <w:i/>
          <w:iCs/>
        </w:rPr>
        <w:t xml:space="preserve">et al.</w:t>
      </w:r>
      <w:r>
        <w:t xml:space="preserve">, 2022</w:t>
      </w:r>
      <w:r>
        <w:t xml:space="preserve">)</w:t>
      </w:r>
      <w:r>
        <w:t xml:space="preserve">.</w:t>
      </w:r>
      <w:r/>
    </w:p>
    <w:p>
      <w:pPr>
        <w:pBdr/>
        <w:spacing/>
        <w:ind/>
        <w:rPr/>
      </w:pPr>
      <w:r>
        <w:t xml:space="preserve">Figure </w:t>
      </w:r>
      <w:r>
        <w:t xml:space="preserve">1</w:t>
      </w:r>
      <w:r>
        <w:t xml:space="preserve"> shows the cost-benefit of treatments, with an estimated cost of reaching the 1 million acres treated/year goal of </w:t>
      </w:r>
      <m:oMath>
        <m:r>
          <m:rPr/>
          <m:t>3 billion and a benefit of </m:t>
        </m:r>
      </m:oMath>
      <w:r>
        <w:t xml:space="preserve">7.9/yr </w:t>
      </w:r>
      <w:r>
        <w:t xml:space="preserve">(</w:t>
      </w:r>
      <w:r>
        <w:t xml:space="preserve">Brown, 2024</w:t>
      </w:r>
      <w:r>
        <w:t xml:space="preserve">)</w:t>
      </w:r>
      <w:r>
        <w:t xml:space="preserve">. A maximized net benfit </w:t>
      </w:r>
      <m:oMath>
        <m:r>
          <m:rPr/>
          <m:t>22.2 billion/yr would be reached if 3.9 million acres/yr are treated at a cost of </m:t>
        </m:r>
      </m:oMath>
      <w:r>
        <w:t xml:space="preserve">10.5. These numbers seem astronomical, but indicate the sheer scale of the problem of truly reducing wildfire risk after a century of fire suppression. Even if the state reaches the million acre annual treatment goal, all of the biomass pr</w:t>
      </w:r>
      <w:r>
        <w:t xml:space="preserve">oduced has to go somewhere, as piling, masticating, and spreading it in place will only shift wildfire risk or destroy the forest understory. That somewhere can be a mix of wood utilization that maximizes carbon sequestration benefits, such as mass timber.</w:t>
      </w:r>
      <w:r/>
    </w:p>
    <w:p>
      <w:pPr>
        <w:pBdr/>
        <w:spacing/>
        <w:ind/>
        <w:jc w:val="center"/>
        <w:rPr/>
      </w:pPr>
      <w:r>
        <mc:AlternateContent>
          <mc:Choice Requires="wpg">
            <w:drawing>
              <wp:inline xmlns:wp="http://schemas.openxmlformats.org/drawingml/2006/wordprocessingDrawing" distT="0" distB="0" distL="0" distR="0">
                <wp:extent cx="4000500" cy="4021086"/>
                <wp:effectExtent l="0" t="0" r="0" b="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pic:cNvPicPr>
                        <pic:nvPr/>
                      </pic:nvPicPr>
                      <pic:blipFill rotWithShape="1">
                        <a:blip r:embed="rId11"/>
                        <a:stretch/>
                      </pic:blipFill>
                      <pic:spPr bwMode="auto">
                        <a:xfrm>
                          <a:off x="0" y="0"/>
                          <a:ext cx="4000500" cy="4021086"/>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 o:spid="_x0000_s1" type="#_x0000_t75" style="width:315.00pt;height:316.62pt;mso-wrap-distance-left:0.00pt;mso-wrap-distance-top:0.00pt;mso-wrap-distance-right:0.00pt;mso-wrap-distance-bottom:0.00pt;z-index:1;" stroked="false">
                <v:imagedata r:id="rId11" o:title=""/>
                <o:lock v:ext="edit" rotation="t"/>
              </v:shape>
            </w:pict>
          </mc:Fallback>
        </mc:AlternateContent>
      </w:r>
      <w:r/>
    </w:p>
    <w:p>
      <w:pPr>
        <w:pStyle w:val="760"/>
        <w:pBdr/>
        <w:spacing/>
        <w:ind/>
        <w:rPr/>
      </w:pPr>
      <w:r>
        <w:rPr>
          <w:b/>
          <w:bCs/>
        </w:rPr>
        <w:t xml:space="preserve">Figure </w:t>
      </w:r>
      <w:r>
        <w:rPr>
          <w:b/>
          <w:bCs/>
        </w:rPr>
        <w:t xml:space="preserve">1</w:t>
      </w:r>
      <w:r>
        <w:rPr>
          <w:b/>
          <w:bCs/>
        </w:rPr>
        <w:t xml:space="preserve">:</w:t>
      </w:r>
      <w:r>
        <w:t xml:space="preserve"> </w:t>
      </w:r>
      <w:r>
        <w:t xml:space="preserve">Costs/benefits of California fuel reduction at the goal of 1 million acres vs. 3.9 million acres—the rate that maximizes net benefits </w:t>
      </w:r>
      <w:r>
        <w:t xml:space="preserve">(</w:t>
      </w:r>
      <w:r>
        <w:t xml:space="preserve">Brown, 2024</w:t>
      </w:r>
      <w:r>
        <w:t xml:space="preserve">)</w:t>
      </w:r>
      <w:r>
        <w:t xml:space="preserve">.</w:t>
      </w:r>
      <w:r/>
    </w:p>
    <w:p>
      <w:pPr>
        <w:pBdr/>
        <w:spacing/>
        <w:ind/>
        <w:rPr/>
      </w:pPr>
      <w:r>
        <w:t xml:space="preserve">Additional studies estimate a return on investment of treatments of $3.42 for every $1 invested </w:t>
      </w:r>
      <w:r>
        <w:t xml:space="preserve">(</w:t>
      </w:r>
      <w:r>
        <w:t xml:space="preserve">Strabo </w:t>
      </w:r>
      <w:r>
        <w:rPr>
          <w:i/>
          <w:iCs/>
        </w:rPr>
        <w:t xml:space="preserve">et al.</w:t>
      </w:r>
      <w:r>
        <w:t xml:space="preserve">, 2025</w:t>
      </w:r>
      <w:r>
        <w:t xml:space="preserve">)</w:t>
      </w:r>
      <w:r>
        <w:t xml:space="preserve"> similar and a benefit-cost ratio of 4 </w:t>
      </w:r>
      <w:r>
        <w:t xml:space="preserve">(</w:t>
      </w:r>
      <w:r>
        <w:t xml:space="preserve">Turner, 2023</w:t>
      </w:r>
      <w:r>
        <w:t xml:space="preserve">)</w:t>
      </w:r>
      <w:r>
        <w:t xml:space="preserve">.</w:t>
      </w:r>
      <w:r/>
    </w:p>
    <w:p>
      <w:pPr>
        <w:pBdr/>
        <w:spacing/>
        <w:ind/>
        <w:rPr/>
      </w:pPr>
      <w:r/>
      <w:r/>
    </w:p>
    <w:p>
      <w:pPr>
        <w:pBdr>
          <w:left w:val="single" w:color="5d85d0" w:sz="4" w:space="0"/>
        </w:pBdr>
        <w:shd w:val="solid" w:color="5d85d0"/>
        <w:spacing/>
        <w:ind w:right="288" w:left="288"/>
        <w:rPr/>
      </w:pPr>
      <w:r>
        <w:rPr>
          <w:b/>
          <w:bCs/>
          <w:color w:val="ffffff"/>
        </w:rPr>
        <w:t xml:space="preserve">BIOMASS FAQs</w:t>
      </w:r>
      <w:r/>
    </w:p>
    <w:p>
      <w:pPr>
        <w:pBdr>
          <w:left w:val="single" w:color="5d85d0" w:sz="4" w:space="0"/>
        </w:pBdr>
        <w:spacing/>
        <w:ind w:right="288" w:left="288"/>
        <w:rPr/>
      </w:pPr>
      <w:r>
        <w:t xml:space="preserve">In addition to wildfire and climate disinformation, several recurring themes touted by some environmentalists deserve debunking and nuance.</w:t>
      </w:r>
      <w:r/>
    </w:p>
    <w:p>
      <w:pPr>
        <w:pStyle w:val="747"/>
        <w:numPr>
          <w:ilvl w:val="0"/>
          <w:numId w:val="3"/>
        </w:numPr>
        <w:pBdr>
          <w:left w:val="single" w:color="5d85d0" w:sz="4" w:space="0"/>
        </w:pBdr>
        <w:spacing/>
        <w:ind w:right="288"/>
        <w:rPr/>
      </w:pPr>
      <w:r>
        <w:rPr>
          <w:b/>
          <w:bCs/>
        </w:rPr>
        <w:t xml:space="preserve">Downstream process</w:t>
      </w:r>
      <w:r>
        <w:t xml:space="preserve">. Wolf mentions leaving thinned biomass in place rather than using it as biomass. However, this practice has led to suppression of important undergrowth and, in worst-case scenarios, started or exacerbated some of the largest</w:t>
      </w:r>
      <w:r>
        <w:t xml:space="preserve"> fires in California’s history. For example, it’s widely acknowledged that the Dixie Fire, which burned more than 1 million acres across the Plumas National Forest, was spread by a log deck and by thinned fuel piles left in place after thinning operations.</w:t>
      </w:r>
      <w:r/>
    </w:p>
    <w:p>
      <w:pPr>
        <w:pStyle w:val="747"/>
        <w:numPr>
          <w:ilvl w:val="0"/>
          <w:numId w:val="3"/>
        </w:numPr>
        <w:pBdr/>
        <w:spacing/>
        <w:ind/>
        <w:rPr/>
      </w:pPr>
      <w:r>
        <w:rPr>
          <w:b/>
          <w:bCs/>
        </w:rPr>
        <w:t xml:space="preserve">Carbon accounting</w:t>
      </w:r>
      <w:r>
        <w:t xml:space="preserve">. Biomass utilization is not zero-carbon, even with newer technologies that reduce carbon emissions. However, in fire-prone forests, t</w:t>
      </w:r>
      <w:r>
        <w:t xml:space="preserve">he alternative is large wildfires that release immense amounts of carbon in an uncontrolled manner, often negatively impacting communities downwind for weeks to months. Due to fires, California forests have been a net source of carbon emissions since 2015 </w:t>
      </w:r>
      <w:r>
        <w:t xml:space="preserve">(</w:t>
      </w:r>
      <w:r>
        <w:t xml:space="preserve">Delyser </w:t>
      </w:r>
      <w:r>
        <w:rPr>
          <w:i/>
          <w:iCs/>
        </w:rPr>
        <w:t xml:space="preserve">et al.</w:t>
      </w:r>
      <w:r>
        <w:t xml:space="preserve">, 2025</w:t>
      </w:r>
      <w:r>
        <w:t xml:space="preserve">)</w:t>
      </w:r>
      <w:r>
        <w:t xml:space="preserve">. Even leaving biomass from thinning projects in place is not a solution, as it shifts wildfi</w:t>
      </w:r>
      <w:r>
        <w:t xml:space="preserve">re risk or creates unnatural conditions from excessive wood chips spread on the forest floor. Another element of carbon accounting is sequestration. With thinned forests, carbon sequestration increases, and large trees grow larger. In a recent simulation, </w:t>
      </w:r>
      <w:r>
        <w:t xml:space="preserve">Elias </w:t>
      </w:r>
      <w:r>
        <w:rPr>
          <w:i/>
          <w:iCs/>
        </w:rPr>
        <w:t xml:space="preserve">et al.</w:t>
      </w:r>
      <w:r>
        <w:t xml:space="preserve"> (2025)</w:t>
      </w:r>
      <w:r>
        <w:t xml:space="preserve"> found a treated forest scenario with 6% more carbon despite a 74% decrease in trees/acre.</w:t>
      </w:r>
      <w:r/>
    </w:p>
    <w:p>
      <w:pPr>
        <w:pStyle w:val="747"/>
        <w:numPr>
          <w:ilvl w:val="0"/>
          <w:numId w:val="3"/>
        </w:numPr>
        <w:pBdr/>
        <w:spacing/>
        <w:ind/>
        <w:rPr/>
      </w:pPr>
      <w:r>
        <w:rPr>
          <w:b/>
          <w:bCs/>
        </w:rPr>
        <w:t xml:space="preserve">Feeding the beast</w:t>
      </w:r>
      <w:r>
        <w:t xml:space="preserve">. A fear among opponents of biomass utilization is that feeding plants from pristine forests to support the biomass industry with dubious climate benefits, e.g., as in North Carolina or Europe (</w:t>
      </w:r>
      <w:hyperlink r:id="rId12" w:tooltip="https://calmatters.org/commentary/2022/11/wildfire-prevention-biomass-climate-forest" w:history="1">
        <w:r>
          <w:rPr>
            <w:rStyle w:val="748"/>
          </w:rPr>
          <w:t xml:space="preserve">Frisch and Uden 2023</w:t>
        </w:r>
      </w:hyperlink>
      <w:r>
        <w:t xml:space="preserve">). However, as the same authors argue, the situation is very different in the American West, where biomass results from wildfire mitigation treatments and 90% of forest land is owned by the public and small-scale landowners.</w:t>
      </w:r>
      <w:r/>
    </w:p>
    <w:p>
      <w:pPr>
        <w:pStyle w:val="747"/>
        <w:numPr>
          <w:ilvl w:val="0"/>
          <w:numId w:val="3"/>
        </w:numPr>
        <w:pBdr/>
        <w:spacing/>
        <w:ind/>
        <w:rPr/>
      </w:pPr>
      <w:r>
        <w:rPr>
          <w:b/>
          <w:bCs/>
        </w:rPr>
        <w:t xml:space="preserve">Biomass is an energy silver bullet</w:t>
      </w:r>
      <w:r>
        <w:t xml:space="preserve">. Biomass energy will not replace renewable energy</w:t>
      </w:r>
      <w:r>
        <w:t xml:space="preserve"> sources such as solar and wind. It is meant to be a local utilization process that is far superior to and less polluting than letting forests burn. The real issue at hand is addressing California’s wildfire emergency and not biomass vs. other renewables (</w:t>
      </w:r>
      <w:hyperlink r:id="rId13" w:tooltip="https://calmatters.org/commentary/reader-reactions/2025/12/hazardous-forest-waste-wildfire-california/" w:history="1">
        <w:r>
          <w:rPr>
            <w:rStyle w:val="748"/>
          </w:rPr>
          <w:t xml:space="preserve">Dias 2025</w:t>
        </w:r>
      </w:hyperlink>
      <w:r>
        <w:t xml:space="preserve">).</w:t>
      </w:r>
      <w:r/>
    </w:p>
    <w:p>
      <w:pPr>
        <w:pStyle w:val="747"/>
        <w:numPr>
          <w:ilvl w:val="0"/>
          <w:numId w:val="3"/>
        </w:numPr>
        <w:pBdr/>
        <w:spacing/>
        <w:ind/>
        <w:rPr/>
      </w:pPr>
      <w:r>
        <w:rPr>
          <w:b/>
          <w:bCs/>
        </w:rPr>
        <w:t xml:space="preserve">Policy-based incentives</w:t>
      </w:r>
      <w:r>
        <w:t xml:space="preserve">. The Bioenergy Market Adjusting Tariff Program (BIOMAT), which the CPUC sadly decided not to renew, required utilities to buy power from small local proje</w:t>
      </w:r>
      <w:r>
        <w:t xml:space="preserve">cts that convert forest biomass to energy. Creating a successor program that could get facilities across the line to function or re-idle facilities like Loyalton that aren’t currently operating is critical to processing biomass from forest health projects.</w:t>
      </w:r>
      <w:r/>
    </w:p>
    <w:p>
      <w:pPr>
        <w:pBdr/>
        <w:spacing/>
        <w:ind/>
        <w:rPr/>
      </w:pPr>
      <w:r/>
      <w:r/>
    </w:p>
    <w:p>
      <w:pPr>
        <w:pStyle w:val="737"/>
        <w:pBdr/>
        <w:spacing/>
        <w:ind/>
        <w:rPr/>
      </w:pPr>
      <w:r>
        <w:t xml:space="preserve">Wildfire disinformation</w:t>
      </w:r>
      <w:r/>
    </w:p>
    <w:p>
      <w:pPr>
        <w:pBdr/>
        <w:spacing/>
        <w:ind/>
        <w:rPr/>
      </w:pPr>
      <w:r>
        <w:t xml:space="preserve">Similar to climate misinformation, untruths about wildfire, forests, and logging have multiplied in the media, political discourse, and across organizations </w:t>
      </w:r>
      <w:r>
        <w:t xml:space="preserve">(</w:t>
      </w:r>
      <w:r>
        <w:t xml:space="preserve">Jones </w:t>
      </w:r>
      <w:r>
        <w:rPr>
          <w:i/>
          <w:iCs/>
        </w:rPr>
        <w:t xml:space="preserve">et al.</w:t>
      </w:r>
      <w:r>
        <w:t xml:space="preserve">, 2022</w:t>
      </w:r>
      <w:r>
        <w:t xml:space="preserve">)</w:t>
      </w:r>
      <w:r>
        <w:t xml:space="preserve">. Likewise, overexposure of wildfire and biomass contrarians in the media to give ‘balanced’ views can result in public confusion and weakened support for interventions, as well as undermine scientific consensus </w:t>
      </w:r>
      <w:r>
        <w:t xml:space="preserve">(</w:t>
      </w:r>
      <w:r>
        <w:t xml:space="preserve">Cook, 2020</w:t>
      </w:r>
      <w:r>
        <w:t xml:space="preserve">)</w:t>
      </w:r>
      <w:r>
        <w:t xml:space="preserve">. A perfect example from the CalMatters article is the claim that ‘Most of California’s destructive wildfires...have burned in shrubland</w:t>
      </w:r>
      <w:r>
        <w:t xml:space="preserve">s and grasslands...’ The citation is for a study that concludes that destructive wildfires in the continental US have occurred mostly in these habitats. In reality, the most destructive California wildfires have occurred in a mix of forests and shrublands.</w:t>
      </w:r>
      <w:r/>
    </w:p>
    <w:p>
      <w:pPr>
        <w:pStyle w:val="738"/>
        <w:pBdr/>
        <w:spacing/>
        <w:ind/>
        <w:rPr/>
      </w:pPr>
      <w:r>
        <w:t xml:space="preserve">Fire-adapted forests</w:t>
      </w:r>
      <w:r/>
    </w:p>
    <w:p>
      <w:pPr>
        <w:pBdr/>
        <w:spacing/>
        <w:ind/>
        <w:rPr/>
      </w:pPr>
      <w:r>
        <w:t xml:space="preserve">Another misconception mentioned is that thinning makes cool, moist forests hotter, drier, and more wind-prone, where the author cites </w:t>
      </w:r>
      <w:r>
        <w:t xml:space="preserve">Hagmann </w:t>
      </w:r>
      <w:r>
        <w:rPr>
          <w:i/>
          <w:iCs/>
        </w:rPr>
        <w:t xml:space="preserve">et al.</w:t>
      </w:r>
      <w:r>
        <w:t xml:space="preserve"> (2021)</w:t>
      </w:r>
      <w:r>
        <w:t xml:space="preserve">. Several authors cited in this article are described in </w:t>
      </w:r>
      <w:r>
        <w:t xml:space="preserve">Peery </w:t>
      </w:r>
      <w:r>
        <w:rPr>
          <w:i/>
          <w:iCs/>
        </w:rPr>
        <w:t xml:space="preserve">et al.</w:t>
      </w:r>
      <w:r>
        <w:t xml:space="preserve"> (2019)</w:t>
      </w:r>
      <w:r>
        <w:t xml:space="preserve"> as engaging in agenda-driven pseudoscien</w:t>
      </w:r>
      <w:r>
        <w:t xml:space="preserve">ce, such as the selective use of data, mixing science and litigation without declaring conflicts of interest, and harassing scientists publishing competing studies. Yet there’s widespread scientific consensus that fire was more frequent in western forests </w:t>
      </w:r>
      <w:r>
        <w:t xml:space="preserve">(</w:t>
      </w:r>
      <w:r>
        <w:t xml:space="preserve">Stephens </w:t>
      </w:r>
      <w:r>
        <w:rPr>
          <w:i/>
          <w:iCs/>
        </w:rPr>
        <w:t xml:space="preserve">et al.</w:t>
      </w:r>
      <w:r>
        <w:t xml:space="preserve">, 2007</w:t>
      </w:r>
      <w:r>
        <w:t xml:space="preserve">)</w:t>
      </w:r>
      <w:r>
        <w:t xml:space="preserve">, trees were bigger and forest stands were more ‘park like’ </w:t>
      </w:r>
      <w:r>
        <w:t xml:space="preserve">(</w:t>
      </w:r>
      <w:r>
        <w:t xml:space="preserve">North </w:t>
      </w:r>
      <w:r>
        <w:rPr>
          <w:i/>
          <w:iCs/>
        </w:rPr>
        <w:t xml:space="preserve">et al.</w:t>
      </w:r>
      <w:r>
        <w:t xml:space="preserve">, 2009</w:t>
      </w:r>
      <w:r>
        <w:t xml:space="preserve">)</w:t>
      </w:r>
      <w:r>
        <w:t xml:space="preserve">, and due to loss of moderate fires due to decades of fire suppression make current conditions in nearly all forests more vulnerable to drought and fire, particularly in a warming climate </w:t>
      </w:r>
      <w:r>
        <w:t xml:space="preserve">(</w:t>
      </w:r>
      <w:r>
        <w:t xml:space="preserve">Hagmann </w:t>
      </w:r>
      <w:r>
        <w:rPr>
          <w:i/>
          <w:iCs/>
        </w:rPr>
        <w:t xml:space="preserve">et al.</w:t>
      </w:r>
      <w:r>
        <w:t xml:space="preserve">, 2021</w:t>
      </w:r>
      <w:r>
        <w:t xml:space="preserve">)</w:t>
      </w:r>
      <w:r>
        <w:t xml:space="preserve">. Current needs assessments indicate more than 11.2 million forested acres require treatment to reduce future wildfire risk and severity </w:t>
      </w:r>
      <w:r>
        <w:t xml:space="preserve">(</w:t>
      </w:r>
      <w:r>
        <w:t xml:space="preserve">Delyser </w:t>
      </w:r>
      <w:r>
        <w:rPr>
          <w:i/>
          <w:iCs/>
        </w:rPr>
        <w:t xml:space="preserve">et al.</w:t>
      </w:r>
      <w:r>
        <w:t xml:space="preserve">, 2025</w:t>
      </w:r>
      <w:r>
        <w:t xml:space="preserve">)</w:t>
      </w:r>
      <w:r>
        <w:t xml:space="preserve">. The same study shows that rapid initial treatments can restore resilience before climate change intensifies wildfires.</w:t>
      </w:r>
      <w:r/>
    </w:p>
    <w:p>
      <w:pPr>
        <w:pBdr/>
        <w:spacing/>
        <w:ind/>
        <w:rPr/>
      </w:pPr>
      <w:r>
        <w:t xml:space="preserve">More importantly, recent fires in mixed conifer woodlands, such as the Dixie Caldor Fires in 2021, showed that thinning and prescribed fire reduced the probability of stand-replacing wildfire and fire severity</w:t>
      </w:r>
      <w:r>
        <w:t xml:space="preserve">(</w:t>
      </w:r>
      <w:r>
        <w:t xml:space="preserve">Shive </w:t>
      </w:r>
      <w:r>
        <w:rPr>
          <w:i/>
          <w:iCs/>
        </w:rPr>
        <w:t xml:space="preserve">et al.</w:t>
      </w:r>
      <w:r>
        <w:t xml:space="preserve">, 2024</w:t>
      </w:r>
      <w:r>
        <w:t xml:space="preserve">; </w:t>
      </w:r>
      <w:r>
        <w:t xml:space="preserve">Baldassare, 2024</w:t>
      </w:r>
      <w:r>
        <w:t xml:space="preserve">)</w:t>
      </w:r>
      <w:r>
        <w:t xml:space="preserve">. In fact, the Caldor Fire was deflected by a prescribed burn at Caples Lake the previous year, reducing the risk to surrounding forests and communities </w:t>
      </w:r>
      <w:r>
        <w:t xml:space="preserve">(</w:t>
      </w:r>
      <w:r>
        <w:t xml:space="preserve">Eagleston </w:t>
      </w:r>
      <w:r>
        <w:rPr>
          <w:i/>
          <w:iCs/>
        </w:rPr>
        <w:t xml:space="preserve">et al.</w:t>
      </w:r>
      <w:r>
        <w:t xml:space="preserve">, 2025</w:t>
      </w:r>
      <w:r>
        <w:t xml:space="preserve">; </w:t>
      </w:r>
      <w:r>
        <w:t xml:space="preserve">Safford &amp; Saberi, 2026</w:t>
      </w:r>
      <w:r>
        <w:t xml:space="preserve">)</w:t>
      </w:r>
      <w:r>
        <w:t xml:space="preserve">.</w:t>
      </w:r>
      <w:r/>
    </w:p>
    <w:p>
      <w:pPr>
        <w:pStyle w:val="738"/>
        <w:pBdr/>
        <w:spacing/>
        <w:ind/>
        <w:rPr/>
      </w:pPr>
      <w:r>
        <w:t xml:space="preserve">Fire suppression</w:t>
      </w:r>
      <w:r/>
    </w:p>
    <w:p>
      <w:pPr>
        <w:pBdr/>
        <w:spacing/>
        <w:ind/>
        <w:rPr/>
      </w:pPr>
      <w:r>
        <w:t xml:space="preserve">Quite possibly the biggest miss of the Calmatter’s article is not acknowledging the degree of ecological departure from ‘natural’ conditions due to a century of wildfire suppression </w:t>
      </w:r>
      <w:r>
        <w:t xml:space="preserve">(</w:t>
      </w:r>
      <w:r>
        <w:t xml:space="preserve">Collins </w:t>
      </w:r>
      <w:r>
        <w:rPr>
          <w:i/>
          <w:iCs/>
        </w:rPr>
        <w:t xml:space="preserve">et al.</w:t>
      </w:r>
      <w:r>
        <w:t xml:space="preserve">, 2017</w:t>
      </w:r>
      <w:r>
        <w:t xml:space="preserve">; </w:t>
      </w:r>
      <w:r>
        <w:t xml:space="preserve">Peery </w:t>
      </w:r>
      <w:r>
        <w:rPr>
          <w:i/>
          <w:iCs/>
        </w:rPr>
        <w:t xml:space="preserve">et al.</w:t>
      </w:r>
      <w:r>
        <w:t xml:space="preserve">, 2019</w:t>
      </w:r>
      <w:r>
        <w:t xml:space="preserve">)</w:t>
      </w:r>
      <w:r>
        <w:t xml:space="preserve">. This human-induced forest condition has led to increasingly large, more frequent fires that destroy ecosystems and communities alike. </w:t>
      </w:r>
      <w:r>
        <w:t xml:space="preserve">Prichard </w:t>
      </w:r>
      <w:r>
        <w:rPr>
          <w:i/>
          <w:iCs/>
        </w:rPr>
        <w:t xml:space="preserve">et al.</w:t>
      </w:r>
      <w:r>
        <w:t xml:space="preserve"> (2021)</w:t>
      </w:r>
      <w:r>
        <w:t xml:space="preserve"> found that the effects of fire exclusion are not overstated, and that intentional management that adapts to current for</w:t>
      </w:r>
      <w:r>
        <w:t xml:space="preserve">est conditions is needed. Utilizing biomass from projects intended to return forest stands to natural fire regimes will be needed in the short term until prescribed fire or fires allowed to burn can allow the forest to catch up to pre-Columbian conditions.</w:t>
      </w:r>
      <w:r/>
    </w:p>
    <w:p>
      <w:pPr>
        <w:pStyle w:val="738"/>
        <w:pBdr/>
        <w:spacing/>
        <w:ind/>
        <w:rPr/>
      </w:pPr>
      <w:r>
        <w:t xml:space="preserve">Biodiversity</w:t>
      </w:r>
      <w:r/>
    </w:p>
    <w:p>
      <w:pPr>
        <w:pBdr/>
        <w:spacing/>
        <w:ind/>
        <w:rPr/>
      </w:pPr>
      <w:r>
        <w:t xml:space="preserve">Curiously, despite the author’s organizational mission, biodiversity wasn’t mentioned at all in the opinion piece. For instance, it is well known that the indigenous burning as a part of historic fire regimes enhanced biodiversity </w:t>
      </w:r>
      <w:r>
        <w:t xml:space="preserve">(</w:t>
      </w:r>
      <w:r>
        <w:t xml:space="preserve">Hoffman </w:t>
      </w:r>
      <w:r>
        <w:rPr>
          <w:i/>
          <w:iCs/>
        </w:rPr>
        <w:t xml:space="preserve">et al.</w:t>
      </w:r>
      <w:r>
        <w:t xml:space="preserve">, 2021</w:t>
      </w:r>
      <w:r>
        <w:t xml:space="preserve">)</w:t>
      </w:r>
      <w:r>
        <w:t xml:space="preserve">. Measuring the impact of thinning, prescribed fire, and other forest health projects should be a feature of any publicly funded projects.</w:t>
      </w:r>
      <w:r/>
    </w:p>
    <w:p>
      <w:pPr>
        <w:pBdr/>
        <w:spacing/>
        <w:ind/>
        <w:rPr/>
      </w:pPr>
      <w:r>
        <w:t xml:space="preserve">The science advisory panel of the Wildfire Task Force has done a superb job ensuring biodiversity and listed species data are available for all regions in the state, but more can be </w:t>
      </w:r>
      <w:r>
        <w:t xml:space="preserve">done to measure project impacts on vulnerable or threatened species and overall impacts on species over time. There is some evidence that a combination of thinning and prescribed fire significantly increases plant diversity in mixed or dry conifer forests </w:t>
      </w:r>
      <w:r>
        <w:t xml:space="preserve">(</w:t>
      </w:r>
      <w:r>
        <w:t xml:space="preserve">Dodson </w:t>
      </w:r>
      <w:r>
        <w:rPr>
          <w:i/>
          <w:iCs/>
        </w:rPr>
        <w:t xml:space="preserve">et al.</w:t>
      </w:r>
      <w:r>
        <w:t xml:space="preserve">, 2008</w:t>
      </w:r>
      <w:r>
        <w:t xml:space="preserve">)</w:t>
      </w:r>
      <w:r>
        <w:t xml:space="preserve">. However, California is very diverse, and what works in one ecosystem may not work in others, especially in chaparral or mesic systems, where burn frequency is generally too high and thinning or prescribed fire are not applicable treatments.</w:t>
      </w:r>
      <w:r/>
    </w:p>
    <w:p>
      <w:pPr>
        <w:pBdr/>
        <w:spacing/>
        <w:ind/>
        <w:jc w:val="center"/>
        <w:rPr/>
      </w:pPr>
      <w:r>
        <mc:AlternateContent>
          <mc:Choice Requires="wpg">
            <w:drawing>
              <wp:inline xmlns:wp="http://schemas.openxmlformats.org/drawingml/2006/wordprocessingDrawing" distT="0" distB="0" distL="0" distR="0">
                <wp:extent cx="1785938" cy="1251385"/>
                <wp:effectExtent l="0" t="0" r="0" b="0"/>
                <wp:docPr id="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pic:cNvPicPr>
                        <pic:nvPr/>
                      </pic:nvPicPr>
                      <pic:blipFill rotWithShape="1">
                        <a:blip r:embed="rId14"/>
                        <a:stretch/>
                      </pic:blipFill>
                      <pic:spPr bwMode="auto">
                        <a:xfrm>
                          <a:off x="0" y="0"/>
                          <a:ext cx="1785938" cy="125138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 o:spid="_x0000_s2" type="#_x0000_t75" style="width:140.63pt;height:98.53pt;mso-wrap-distance-left:0.00pt;mso-wrap-distance-top:0.00pt;mso-wrap-distance-right:0.00pt;mso-wrap-distance-bottom:0.00pt;z-index:1;" stroked="false">
                <v:imagedata r:id="rId14" o:title=""/>
                <o:lock v:ext="edit" rotation="t"/>
              </v:shape>
            </w:pict>
          </mc:Fallback>
        </mc:AlternateContent>
      </w:r>
      <w:r/>
    </w:p>
    <w:p>
      <w:pPr>
        <w:pStyle w:val="737"/>
        <w:pBdr/>
        <w:spacing/>
        <w:ind/>
        <w:rPr/>
      </w:pPr>
      <w:r>
        <w:t xml:space="preserve">Solutions</w:t>
      </w:r>
      <w:r/>
    </w:p>
    <w:p>
      <w:pPr>
        <w:pBdr/>
        <w:spacing/>
        <w:ind/>
        <w:rPr/>
      </w:pPr>
      <w:r>
        <w:t xml:space="preserve">Ms. Wolf did get two things</w:t>
      </w:r>
      <w:r>
        <w:t xml:space="preserve"> right in her op-ed: prioritize thinning in the wildland urban interface and limit development in fire-prone areas. These solutions, however, fail to address the current problem of excessive biomass in forests, resulting from a century of fire suppression.</w:t>
      </w:r>
      <w:r/>
    </w:p>
    <w:p>
      <w:pPr>
        <w:pStyle w:val="758"/>
        <w:pBdr/>
        <w:spacing/>
        <w:ind/>
        <w:rPr/>
      </w:pPr>
      <w:r>
        <w:t xml:space="preserve">“The choice is not between profit and responsibility. It is between managed transition and unmanaged failure.” </w:t>
      </w:r>
      <w:r>
        <w:t xml:space="preserve">Harrison (2025)</w:t>
      </w:r>
      <w:r/>
    </w:p>
    <w:p>
      <w:pPr>
        <w:pBdr/>
        <w:spacing/>
        <w:ind/>
        <w:rPr/>
      </w:pPr>
      <w:r>
        <w:t xml:space="preserve">Removing many small-diameter trees followed by prescribed fire will not only reduce wildfire risk in priority areas (note Cald</w:t>
      </w:r>
      <w:r>
        <w:t xml:space="preserve">or fire burn deflected by Caples Lake prescribed fire), but it will reduce excessive competition, causing chronic stress across forest stands, reducing disease, insect invasions, allowing large trees to grow larger, and making forest stands more resilient </w:t>
      </w:r>
      <w:r>
        <w:t xml:space="preserve">(</w:t>
      </w:r>
      <w:r>
        <w:t xml:space="preserve">North </w:t>
      </w:r>
      <w:r>
        <w:rPr>
          <w:i/>
          <w:iCs/>
        </w:rPr>
        <w:t xml:space="preserve">et al.</w:t>
      </w:r>
      <w:r>
        <w:t xml:space="preserve">, 2022</w:t>
      </w:r>
      <w:r>
        <w:t xml:space="preserve">)</w:t>
      </w:r>
      <w:r>
        <w:t xml:space="preserve">. Either/or solutions are not needed; both/and, integrated solutions with all hands on deck to mitigate wildfire threats to forests and communities. Some of these include</w:t>
      </w:r>
      <w:r/>
    </w:p>
    <w:p>
      <w:pPr>
        <w:pStyle w:val="747"/>
        <w:numPr>
          <w:ilvl w:val="0"/>
          <w:numId w:val="4"/>
        </w:numPr>
        <w:pBdr/>
        <w:spacing/>
        <w:ind/>
        <w:rPr/>
      </w:pPr>
      <w:r>
        <w:rPr>
          <w:b/>
          <w:bCs/>
        </w:rPr>
        <w:t xml:space="preserve">Climate change and biomass</w:t>
      </w:r>
      <w:r>
        <w:t xml:space="preserve">. It is clear that rapid scaling of forest health treatments, including thinning and prescribed fire, is critical to resilient forests in the face of climate change </w:t>
      </w:r>
      <w:r>
        <w:t xml:space="preserve">(</w:t>
      </w:r>
      <w:r>
        <w:t xml:space="preserve">Delyser </w:t>
      </w:r>
      <w:r>
        <w:rPr>
          <w:i/>
          <w:iCs/>
        </w:rPr>
        <w:t xml:space="preserve">et al.</w:t>
      </w:r>
      <w:r>
        <w:t xml:space="preserve">, 2025</w:t>
      </w:r>
      <w:r>
        <w:t xml:space="preserve">)</w:t>
      </w:r>
      <w:r>
        <w:t xml:space="preserve">. Creating policies that integrate treatments and biomass utilization with climate goals and greenhouse gas reduction enables wildfire risk mitigation and incorporates utilization infrastructure regulations into the same solutions.</w:t>
      </w:r>
      <w:r/>
    </w:p>
    <w:p>
      <w:pPr>
        <w:pStyle w:val="747"/>
        <w:numPr>
          <w:ilvl w:val="0"/>
          <w:numId w:val="4"/>
        </w:numPr>
        <w:pBdr/>
        <w:spacing/>
        <w:ind/>
        <w:rPr/>
      </w:pPr>
      <w:r>
        <w:rPr>
          <w:b/>
          <w:bCs/>
        </w:rPr>
        <w:t xml:space="preserve">Mobile modular technology</w:t>
      </w:r>
      <w:r>
        <w:t xml:space="preserve">. Processing biomass is a temporary solution to the buildup of biomass over a century of fire suppression. Creating biomass infrastructure should not create a</w:t>
      </w:r>
      <w:r>
        <w:t xml:space="preserve"> feed-the-beast situation, as has happened in the Southeast US or parts of Europe. Rather, processing biomass in areas of need may be needed over time, not only to prioritize local utilization, but also to support the transport of biomass and its products.</w:t>
      </w:r>
      <w:r/>
    </w:p>
    <w:p>
      <w:pPr>
        <w:pStyle w:val="747"/>
        <w:numPr>
          <w:ilvl w:val="0"/>
          <w:numId w:val="4"/>
        </w:numPr>
        <w:pBdr/>
        <w:spacing/>
        <w:ind/>
        <w:rPr/>
      </w:pPr>
      <w:r>
        <w:rPr>
          <w:b/>
          <w:bCs/>
        </w:rPr>
        <w:t xml:space="preserve">Pro-active disaster insurance</w:t>
      </w:r>
      <w:r>
        <w:t xml:space="preserve">. It is clear that r</w:t>
      </w:r>
      <w:r>
        <w:t xml:space="preserve">epeated large-scale wildfires will make California and other regions of the world uninsurable and possibly uninhabitable. Creating economic incentives to treat prevention will reduce losses, stabilize premium costs, and lower overall impacts to the public </w:t>
      </w:r>
      <w:r>
        <w:t xml:space="preserve">(</w:t>
      </w:r>
      <w:r>
        <w:t xml:space="preserve">Harrison, 2025</w:t>
      </w:r>
      <w:r>
        <w:t xml:space="preserve">)</w:t>
      </w:r>
      <w:r>
        <w:t xml:space="preserve">. Disaster should not form the basis of a growth economy; policy and market incentives can provide carrot-and-stick approaches to ensure change at the scale that climate and resulting wildfires pose.</w:t>
      </w:r>
      <w:r/>
    </w:p>
    <w:p>
      <w:pPr>
        <w:pStyle w:val="747"/>
        <w:numPr>
          <w:ilvl w:val="0"/>
          <w:numId w:val="4"/>
        </w:numPr>
        <w:pBdr/>
        <w:spacing/>
        <w:ind/>
        <w:rPr/>
      </w:pPr>
      <w:r>
        <w:rPr>
          <w:b/>
          <w:bCs/>
        </w:rPr>
        <w:t xml:space="preserve">Jobs in the woods</w:t>
      </w:r>
      <w:r>
        <w:t xml:space="preserve">. Biomass production and processing can create valuable jobs in the woods in rural, often disadvantaged communities that are threatened by wildfir</w:t>
      </w:r>
      <w:r>
        <w:t xml:space="preserve">e and also experiencing a constant state of brain drain and loss of capacity due to residents leaving to look for jobs elsewhere (when jobs don’t exist in their communities). Creating whole system stewards could be a component of this job creation process.</w:t>
      </w:r>
      <w:r/>
    </w:p>
    <w:p>
      <w:pPr>
        <w:pStyle w:val="747"/>
        <w:numPr>
          <w:ilvl w:val="0"/>
          <w:numId w:val="4"/>
        </w:numPr>
        <w:pBdr/>
        <w:spacing/>
        <w:ind/>
        <w:rPr/>
      </w:pPr>
      <w:r>
        <w:rPr>
          <w:b/>
          <w:bCs/>
        </w:rPr>
        <w:t xml:space="preserve">Biodiversity</w:t>
      </w:r>
      <w:r>
        <w:t xml:space="preserve">. Biodiversity isn’t a solution to biomass utilization, per se, but it should be included in every conversation about forest health, e.g., what is the impact on biodiversity of thinning, prescribed fire, and biomass utilization? Removing all snags from t</w:t>
      </w:r>
      <w:r>
        <w:t xml:space="preserve">he forest to reduce fire risk will negatively impact biodiversity. Indiscriminate thinning, instead of creating gaps and clumps, and ecological-based forest management will reduce biodiversity and may not even work to create resilient forest health stands.</w:t>
      </w:r>
      <w:r/>
    </w:p>
    <w:p>
      <w:pPr>
        <w:pStyle w:val="737"/>
        <w:pBdr/>
        <w:spacing/>
        <w:ind/>
        <w:rPr/>
      </w:pPr>
      <w:r>
        <w:t xml:space="preserve">Authors</w:t>
      </w:r>
      <w:r/>
    </w:p>
    <w:p>
      <w:pPr>
        <w:pBdr/>
        <w:spacing/>
        <w:ind/>
        <w:rPr/>
      </w:pPr>
      <w:r>
        <w:rPr>
          <w:b/>
          <w:bCs/>
        </w:rPr>
        <w:t xml:space="preserve">Vance Russell</w:t>
      </w:r>
      <w:r>
        <w:t xml:space="preserve"> has nearly 40 years of experience working in forest science &amp; management, rewilding, biodiversity conservation, agricultural landscapes, restoration, and natural resources management. He is the owner of </w:t>
      </w:r>
      <w:hyperlink r:id="rId15" w:tooltip="http://3point.xyz" w:history="1">
        <w:r>
          <w:rPr>
            <w:rStyle w:val="748"/>
            <w:b/>
            <w:bCs/>
          </w:rPr>
          <w:t xml:space="preserve">3point.xyz</w:t>
        </w:r>
      </w:hyperlink>
      <w:r>
        <w:t xml:space="preserve">, where he works for vari</w:t>
      </w:r>
      <w:r>
        <w:t xml:space="preserve">ous non-profit, state/federal agencies, and private businesses. Vance is the former Board Chair of Groundswell International, is a trustee for the South Downs National Park Trust, and serves on the Rewilding Leadership Council for the Rewilding Institute.
</w:t>
      </w:r>
      <w:r/>
    </w:p>
    <w:p>
      <w:pPr>
        <w:pBdr/>
        <w:spacing/>
        <w:ind/>
        <w:rPr/>
      </w:pPr>
      <w:r>
        <w:rPr>
          <w:b/>
          <w:bCs/>
        </w:rPr>
        <w:br/>
        <w:t xml:space="preserve">Joshua Harrison</w:t>
      </w:r>
      <w:r>
        <w:t xml:space="preserve"> is Director of the </w:t>
      </w:r>
      <w:r>
        <w:rPr>
          <w:b/>
          <w:bCs/>
        </w:rPr>
        <w:t xml:space="preserve">Center for the Study of the Force Majeure</w:t>
      </w:r>
      <w:r>
        <w:t xml:space="preserve"> at the University of California, Santa Cruz, where he leads interdisciplinary teams designing regenerat</w:t>
      </w:r>
      <w:r>
        <w:t xml:space="preserve">ive systems in response to climate disruption. His work bridges art, science, and policy: from immersive installations on ocean collapse to circular-economy models for wildfire-damaged forests and allyship with tribal groups bringing back cultural burning.</w:t>
      </w:r>
      <w:r/>
    </w:p>
    <w:p>
      <w:pPr>
        <w:pStyle w:val="737"/>
        <w:pBdr/>
        <w:spacing/>
        <w:ind/>
        <w:rPr/>
      </w:pPr>
      <w:r>
        <w:t xml:space="preserve">References</w:t>
      </w:r>
      <w:r/>
    </w:p>
    <w:p w14:paraId="2A3FF1E3">
      <w:pPr>
        <w:pBdr/>
        <w:spacing/>
        <w:ind/>
        <w:jc w:val="left"/>
        <w:rPr/>
      </w:pPr>
      <w:r>
        <w:t xml:space="preserve">Baldassare, D. (2024). North Fork Forest Recovery Project Carbon Effects Report.Brown, P. (2024). Cost-effectiveness of large-scale fuel reduction for wildfire mitigation in California. JSTOR. https://www.jstor.org/stable/resrep60733?seq=22.</w:t>
      </w:r>
      <w:r/>
    </w:p>
    <w:p w14:paraId="4B5D5BC4">
      <w:pPr>
        <w:pBdr/>
        <w:spacing/>
        <w:ind/>
        <w:jc w:val="left"/>
        <w:rPr/>
      </w:pPr>
      <w:r>
        <w:t xml:space="preserve">Collins, B. M., Fry, D. L., Lydersen, J. M., Everett, R., &amp; Stephens, S. L. (2017). Impacts of different land management histories on forest change. Ecological Applications, 27(8), 2475–2486. 10.1002/eap.1622.</w:t>
      </w:r>
      <w:r/>
    </w:p>
    <w:p w14:paraId="40944243">
      <w:pPr>
        <w:pBdr/>
        <w:spacing/>
        <w:ind/>
        <w:jc w:val="left"/>
        <w:rPr/>
      </w:pPr>
      <w:r>
        <w:t xml:space="preserve">Cook, J. (2020). Deconstructing climate science denial. In Research Handbook on Communicating Climate Change. Edward Elgar Publishing. 10.4337/9781789900408.00014.</w:t>
      </w:r>
      <w:r/>
    </w:p>
    <w:p w14:paraId="35487D7D">
      <w:pPr>
        <w:pBdr/>
        <w:spacing/>
        <w:ind/>
        <w:jc w:val="left"/>
        <w:rPr/>
      </w:pPr>
      <w:r>
        <w:t xml:space="preserve">Darlington, C., Moghaddas, Jason, &amp; Fanslow, G. (2023). California forest biomass pile data collection. Joint Institute for Wood Products Innovation. https://cdnverify.bof.fire.ca.gov/media/fbplcgwm/california-forest-biomass-pile-data-collection_adamfk.pdf.</w:t>
      </w:r>
      <w:r/>
      <w:r/>
    </w:p>
    <w:p w14:paraId="0BE08CFC">
      <w:pPr>
        <w:pBdr/>
        <w:spacing/>
        <w:ind/>
        <w:jc w:val="left"/>
        <w:rPr/>
      </w:pPr>
      <w:r>
        <w:t xml:space="preserve">Delyser, K., Tase, N., Clay, K., Magnan, M., Evans, S., Keithley, C., Bartowitz, K., Gadoth-Goodman, D., Papa, C., Ontl, T., &amp; Cooper, L. (2025). Effects of Forest Management &amp; Wood Utilization on Carbon Sequestration &amp; Storage in California. CAL FIRE. http</w:t>
      </w:r>
      <w:r>
        <w:t xml:space="preserve">s://d3f9k0n15ckvhe.cloudfront.net/wp-content/uploads/2025/02/CBM_CA_report_FINAL.pdf.</w:t>
      </w:r>
      <w:r/>
    </w:p>
    <w:p w14:paraId="73EE2A9A">
      <w:pPr>
        <w:pBdr/>
        <w:spacing/>
        <w:ind/>
        <w:jc w:val="left"/>
        <w:rPr/>
      </w:pPr>
      <w:r>
        <w:t xml:space="preserve">Dodson, E. K., Peterson, D. W., &amp; Harrod, R. J. (2008). Understory vegetation response to thinning and burning restoration treatments in dry conifer forests of the eastern Cascades, USA. Forest Ecology and Management, 255(8–9), 3130–3140. 10.1016/j.foreco.2</w:t>
      </w:r>
      <w:r>
        <w:t xml:space="preserve">008.01.026.</w:t>
      </w:r>
      <w:r/>
    </w:p>
    <w:p w14:paraId="750D4D1A">
      <w:pPr>
        <w:pBdr/>
        <w:spacing/>
        <w:ind/>
        <w:jc w:val="left"/>
        <w:rPr/>
      </w:pPr>
      <w:r>
        <w:t xml:space="preserve">Eagleston, H., Bester, M., Yusuf, J., Damodaran, A., &amp; Reno, M. J. (2025). Systemic Drivers of Electric-Grid-Caused Catastrophic Wildfires: Implications for Resilience in the United States. Challenges, 16(1).Elias, M., Yackulic, E., Duffy, K., Saksa, P., Sa</w:t>
      </w:r>
      <w:r>
        <w:t xml:space="preserve">nchez, D. L., Pevzner, N., Plumb, S., Dyszynski, J., &amp; Bracer, C. (2025). Carbon finance for forest resilience in California. Frontiers in Forests and Global Change, 7, 1507554. 10.3389/ffgc.2024.1507554.</w:t>
      </w:r>
      <w:r/>
    </w:p>
    <w:p w14:paraId="2B00A55B">
      <w:pPr>
        <w:pBdr/>
        <w:spacing/>
        <w:ind/>
        <w:jc w:val="left"/>
        <w:rPr/>
      </w:pPr>
      <w:r>
        <w:t xml:space="preserve">Hagmann, R. K., Hessburg, P. F., Prichard, S. J., Povak, N. A., Brown, P. M., Fulé, P. Z., Keane, R. E., Knapp, E. E., Lydersen, J. M., Metlen, K. L., Reilly, M. J., Sánchez Meador, A. J., Stephens, S. L., Stevens, J. T., Taylor, A. H., Yocom, L. L., Battag</w:t>
      </w:r>
      <w:r>
        <w:t xml:space="preserve">lia, M. A., Churchill, D. J., Daniels, L. D., … Waltz, A. E. M. (2021). Evidence for widespread changes in the structure, composition, and fire regimes of western North American forests. Ecological Applications, 31(8). 10.1002/eap.2431.</w:t>
      </w:r>
      <w:r/>
    </w:p>
    <w:p w14:paraId="6D5ADE66">
      <w:pPr>
        <w:pBdr/>
        <w:spacing/>
        <w:ind/>
        <w:jc w:val="left"/>
        <w:rPr/>
      </w:pPr>
      <w:r>
        <w:t xml:space="preserve">Harrison, J. (2025). Avoiding an uninsurable future. Medium. https://medium.com/@joshuaharrison_97833/avoiding-an-uninsurable-future-78d525e8ded6.</w:t>
      </w:r>
      <w:r/>
    </w:p>
    <w:p w14:paraId="09A3D19F">
      <w:pPr>
        <w:pBdr/>
        <w:spacing/>
        <w:ind/>
        <w:jc w:val="left"/>
        <w:rPr/>
      </w:pPr>
      <w:r>
        <w:t xml:space="preserve">Hoffman, K. M., Davis, E. L., Wickham, S. B., Schang, K., Johnson, A., Larking, T., Lauriault, P. N., Quynh Le, N., Swerdfager, E., &amp; Trant, A. J. (2021). Conservation of Earth’s biodiversity is embedded in Indigenous fire stewardship. Proceedings of the Na</w:t>
      </w:r>
      <w:r>
        <w:t xml:space="preserve">tional Academy of Sciences, 118(32). 10.1073/pnas.2105073118.</w:t>
      </w:r>
      <w:r/>
    </w:p>
    <w:p w14:paraId="0465BEC1">
      <w:pPr>
        <w:pBdr/>
        <w:spacing/>
        <w:ind/>
        <w:jc w:val="left"/>
        <w:rPr/>
      </w:pPr>
      <w:r>
        <w:t xml:space="preserve">Holland, T., Evans, S., Long, J., Maxwell, C., Scheller, R., &amp; Potts, M. (2022). The management costs of alternative forest management strategies in the Lake Tahoe Basin. Ecology and Society. 27 (4): 43, 27(4). 10.5751/ES-13481-270443.</w:t>
      </w:r>
      <w:r/>
    </w:p>
    <w:p w14:paraId="4E7BFB87">
      <w:pPr>
        <w:pBdr/>
        <w:spacing/>
        <w:ind/>
        <w:jc w:val="left"/>
        <w:rPr/>
      </w:pPr>
      <w:r>
        <w:t xml:space="preserve">Jerrett, M., Jina, A. S., &amp; Marlier, M. E. (2022). Up in smoke: California’s greenhouse gas reductions could be wiped out by 2020 wildfires. Environmental Pollution, 310.Jones, G. M., Vraga, E. K., Hessburg, P. F., Hurteau, M. D., Allen, C. D., Keane, R. E.</w:t>
      </w:r>
      <w:r>
        <w:t xml:space="preserve">, Spies, T. A., North, M. P., Collins, B. M., Finney, M. A., Lydersen, J. M., &amp; Westerling, A. L. (2022). Counteracting wildfire misinformation. Frontiers in Ecology and the Environment, 20(7), 392–393. 10.1002/fee.2553.</w:t>
      </w:r>
      <w:r/>
    </w:p>
    <w:p w14:paraId="2C0698CC">
      <w:pPr>
        <w:pBdr/>
        <w:spacing/>
        <w:ind/>
        <w:jc w:val="left"/>
        <w:rPr/>
      </w:pPr>
      <w:r>
        <w:t xml:space="preserve">North, M. P., Tompkins, R. E., Bernal, A. A., Collins, B. M., Stephens, S. L., &amp; York, R. A. (2022). Operational resilience in western US frequent-fire forests. Forest Ecology and Management, 507, 120004. 10.1016/j.foreco.2021.120004.</w:t>
      </w:r>
      <w:r/>
    </w:p>
    <w:p w14:paraId="5B267472">
      <w:pPr>
        <w:pBdr/>
        <w:spacing/>
        <w:ind/>
        <w:jc w:val="left"/>
        <w:rPr/>
      </w:pPr>
      <w:r>
        <w:t xml:space="preserve">North, M., Stine, P., O’Hara, K., Zielinski, W., &amp; Stephens, S. (2009). An ecosystem management strategy for Sierran mixed-conifer forests. U.S. Department of Agriculture, Forest Service, Pacific Southwest Research Station. 10.2737/PSW-GTR-220.</w:t>
      </w:r>
      <w:r/>
    </w:p>
    <w:p w14:paraId="65EA4925">
      <w:pPr>
        <w:pBdr/>
        <w:spacing/>
        <w:ind/>
        <w:jc w:val="left"/>
        <w:rPr/>
      </w:pPr>
      <w:r>
        <w:t xml:space="preserve">Oreskes, N., &amp; Conway, E. M. (2011). Merchants of doubt: How a handful of scientists obscured the truth on issues from tobacco smoke to global warming. Bloomsbury Publishing USA.Peery, M. Z., Jones, G. M., Gutiérrez, R., Redpath, S. M., Franklin, A. B., Sim</w:t>
      </w:r>
      <w:r>
        <w:t xml:space="preserve">berloff, D., Turner, M. G., Radeloff, V. C., &amp; White, G. C. (2019). The conundrum of agendadriven science in conservation. Frontiers in Ecology and the Environment, 17(2), 80–82. 10.1002/fee.2006.</w:t>
      </w:r>
      <w:r/>
    </w:p>
    <w:p w14:paraId="2D4F9127">
      <w:pPr>
        <w:pBdr/>
        <w:spacing/>
        <w:ind/>
        <w:jc w:val="left"/>
        <w:rPr/>
      </w:pPr>
      <w:r>
        <w:t xml:space="preserve">Prichard, S. J., Hessburg, P. F., Hagmann, R. K., Povak, N. A., Dobrowski, S. Z., Hurteau, M. D., Kane, V. R., Keane, R. E., Kobziar, L. N., Kolden, C. A., North, M., Parks, S. A., Safford, H. D., Stevens, J. T., Yocom, L. L., Churchill, D. J., Gray, R. W.,</w:t>
      </w:r>
      <w:r>
        <w:t xml:space="preserve"> Huffman, D. W., Lake, F. K., &amp; KhatriChhetri, P. (2021). Adapting western North American forests to climate change and wildfires: 10 common questions. Ecological Applications, 31(8). 10.1002/eap.2433.</w:t>
      </w:r>
      <w:r/>
    </w:p>
    <w:p w14:paraId="0DD7F58A">
      <w:pPr>
        <w:pBdr/>
        <w:spacing/>
        <w:ind/>
        <w:jc w:val="left"/>
        <w:rPr/>
      </w:pPr>
      <w:r>
        <w:t xml:space="preserve">Safford, H. D., &amp; Saberi, S. (2026). Fuel treatment effects on fire severity during the Caldor Fire (2021), Lake Tahoe, California, USA. Forest Ecology and Management, 603. https://research.fs.usda.gov/treesearch/download/64496.pdf.</w:t>
      </w:r>
      <w:r/>
    </w:p>
    <w:p w14:paraId="23B50806">
      <w:pPr>
        <w:pBdr/>
        <w:spacing/>
        <w:ind/>
        <w:jc w:val="left"/>
        <w:rPr/>
      </w:pPr>
      <w:r>
        <w:t xml:space="preserve">Shive, K. L., Coppoletta, M., Wayman, R. B., Paulson, A. K., Wilson, K. N., Abatzaglou, J. T., Saberi, S. J., Estes, B., &amp; Safford, H. D. (2024). Thinning with follow-up burning treatments have increased effectiveness at reducing severity in California’s la</w:t>
      </w:r>
      <w:r>
        <w:t xml:space="preserve">rgest wildfire. Forest Ecology and Management, 572. 10.1016/j.foreco.2024.122171.</w:t>
      </w:r>
      <w:r/>
    </w:p>
    <w:p w14:paraId="4ADCD3C9">
      <w:pPr>
        <w:pBdr/>
        <w:spacing/>
        <w:ind/>
        <w:jc w:val="left"/>
        <w:rPr/>
      </w:pPr>
      <w:r>
        <w:t xml:space="preserve">Stephens, S. L., Martin, R. E., &amp; Clinton, N. E. (2007). Prehistoric fire area and emissions from California’s forests, woodlands, shrublands, and grasslands. Forest Ecology and Management, 251(3), 205–216. 10.1016/j.foreco.2007.06.005.</w:t>
      </w:r>
      <w:r/>
    </w:p>
    <w:p w14:paraId="15C822F9">
      <w:pPr>
        <w:pBdr/>
        <w:spacing/>
        <w:ind/>
        <w:jc w:val="left"/>
        <w:rPr/>
      </w:pPr>
      <w:r>
        <w:t xml:space="preserve">Strabo, F., Bryan, C., &amp; Reimer, M. (2025). Wildfire Damages and the Cost-Effective Role of Forest Fuel Treatments. SSRN. 10.2139/ssrn.5337929.</w:t>
      </w:r>
      <w:r/>
    </w:p>
    <w:p>
      <w:pPr>
        <w:pBdr/>
        <w:spacing/>
        <w:ind/>
        <w:jc w:val="left"/>
        <w:rPr/>
      </w:pPr>
      <w:r>
        <w:t xml:space="preserve">Turner, E. (2023). The Potential for Hazardous Fuel Reduction Treatments to Produce Net Economic Benefits in California [Phdthesis, Johns Hopkins University]. https://jscholarship.library.jhu.edu/server/api/core/bitstreams/f8447761-4375-48d4-a2ba-82bc5bef63</w:t>
      </w:r>
      <w:r>
        <w:t xml:space="preserve">18/content</w:t>
      </w:r>
      <w:r/>
      <w:r>
        <w:rPr>
          <w:lang w:val="en"/>
        </w:rPr>
        <w:t xml:space="preserve">.</w:t>
      </w:r>
      <w:r/>
    </w:p>
    <w:sectPr>
      <w:footerReference w:type="default" r:id="rId9"/>
      <w:footnotePr/>
      <w:endnotePr/>
      <w:type w:val="continuous"/>
      <w:pgSz w:h="16838" w:orient="portrait" w:w="11906"/>
      <w:pgMar w:top="1440" w:right="1440" w:bottom="1440" w:left="1440" w:header="708" w:footer="708" w:gutter="0"/>
      <w:cols w:num="1" w:sep="0" w:space="1701" w:equalWidth="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pBdr/>
        <w:spacing w:after="0" w:line="240" w:lineRule="auto"/>
        <w:ind/>
        <w:rPr/>
      </w:pPr>
      <w:r/>
      <w:r>
        <w:separator/>
      </w:r>
      <w:r/>
    </w:p>
  </w:endnote>
  <w:endnote w:type="continuationSeparator" w:id="0">
    <w:p>
      <w:pPr>
        <w:pBdr/>
        <w:spacing w:after="0" w:line="240" w:lineRule="auto"/>
        <w:ind/>
        <w:rPr/>
      </w:pPr>
      <w: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Arial">
    <w:panose1 w:val="020B0604020202020204"/>
  </w:font>
  <w:font w:name="Calibri">
    <w:panose1 w:val="020F0502020204030204"/>
  </w:font>
  <w:font w:name="Times New Roman">
    <w:panose1 w:val="02020603050405020304"/>
  </w:font>
  <w:font w:name="Cambria">
    <w:panose1 w:val="02040503050406030204"/>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pPr>
      <w:pBdr/>
      <w:spacing/>
      <w:ind/>
      <w:jc w:val="right"/>
      <w:rPr/>
    </w:pPr>
    <w:r>
      <w:t xml:space="preserve">Created with </w:t>
    </w:r>
    <w:r>
      <mc:AlternateContent>
        <mc:Choice Requires="wpg">
          <w:drawing>
            <wp:inline xmlns:wp="http://schemas.openxmlformats.org/drawingml/2006/wordprocessingDrawing" distT="0" distB="0" distL="0" distR="0">
              <wp:extent cx="608542" cy="105833"/>
              <wp:effectExtent l="0" t="0" r="0" b="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pic:cNvPicPr>
                      <pic:nvPr/>
                    </pic:nvPicPr>
                    <pic:blipFill rotWithShape="1">
                      <a:blip r:embed="rId1"/>
                      <a:stretch/>
                    </pic:blipFill>
                    <pic:spPr bwMode="auto">
                      <a:xfrm>
                        <a:off x="0" y="0"/>
                        <a:ext cx="608542" cy="105833"/>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0" o:spid="_x0000_s0" type="#_x0000_t75" style="width:47.92pt;height:8.33pt;mso-wrap-distance-left:0.00pt;mso-wrap-distance-top:0.00pt;mso-wrap-distance-right:0.00pt;mso-wrap-distance-bottom:0.00pt;z-index:1;" stroked="false">
              <v:imagedata r:id="rId1" o:title=""/>
              <o:lock v:ext="edit" rotation="t"/>
            </v:shape>
          </w:pict>
        </mc:Fallback>
      </mc:AlternateContent>
    </w:r>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pBdr/>
        <w:spacing w:after="0" w:line="240" w:lineRule="auto"/>
        <w:ind/>
        <w:rPr/>
      </w:pPr>
      <w:r/>
      <w:r>
        <w:separator/>
      </w:r>
      <w:r/>
    </w:p>
  </w:footnote>
  <w:footnote w:type="continuationSeparator" w:id="0">
    <w:p>
      <w:pPr>
        <w:pBdr/>
        <w:spacing w:after="0" w:line="240" w:lineRule="auto"/>
        <w:ind/>
        <w:rPr/>
      </w:pPr>
      <w:r/>
      <w:r>
        <w:continuationSeparator/>
      </w:r>
      <w:r/>
    </w:p>
  </w:footnote>
  <w:footnote w:id="2">
    <w:p>
      <w:pPr>
        <w:pBdr/>
        <w:spacing/>
        <w:ind/>
        <w:rPr/>
      </w:pPr>
      <w:r>
        <w:rPr>
          <w:rStyle w:val="749"/>
        </w:rPr>
        <w:footnoteRef/>
      </w:r>
      <w:r>
        <w:t xml:space="preserve">Ironically, some environmentalists are using a Merchants of Doubt type of approach to their wildfire disinformation campaigns. See </w:t>
      </w:r>
      <w:r>
        <w:t xml:space="preserve">Oreskes &amp; Conway (2011)</w:t>
      </w:r>
      <w:r>
        <w:t xml:space="preserve"> for more on disinformation campaigns intended to sow doubt about science that have been used historically by the petrochemical and cigarette industries, among others.</w:t>
      </w:r>
      <w:r/>
    </w:p>
  </w:footnote>
  <w:footnote w:id="3">
    <w:p>
      <w:pPr>
        <w:pBdr/>
        <w:spacing/>
        <w:ind/>
        <w:rPr/>
      </w:pPr>
      <w:r>
        <w:rPr>
          <w:rStyle w:val="749"/>
        </w:rPr>
        <w:footnoteRef/>
      </w:r>
      <w:r>
        <w:t xml:space="preserve">Only 19% of this material is accessible via existing road networks.</w:t>
      </w: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lvl w:ilvl="0">
      <w:isLgl w:val="false"/>
      <w:lvlJc w:val="left"/>
      <w:lvlText w:val="●"/>
      <w:numFmt w:val="bullet"/>
      <w:pPr>
        <w:pBdr/>
        <w:spacing/>
        <w:ind w:hanging="360" w:left="720"/>
      </w:pPr>
      <w:rPr/>
      <w:start w:val="1"/>
      <w:suff w:val="tab"/>
    </w:lvl>
    <w:lvl w:ilvl="1">
      <w:isLgl w:val="false"/>
      <w:lvlJc w:val="left"/>
      <w:lvlText w:val="○"/>
      <w:numFmt w:val="bullet"/>
      <w:pPr>
        <w:pBdr/>
        <w:spacing/>
        <w:ind w:hanging="360" w:left="1440"/>
      </w:pPr>
      <w:rPr/>
      <w:start w:val="1"/>
      <w:suff w:val="tab"/>
    </w:lvl>
    <w:lvl w:ilvl="2">
      <w:isLgl w:val="false"/>
      <w:lvlJc w:val="left"/>
      <w:lvlText w:val="■"/>
      <w:numFmt w:val="bullet"/>
      <w:pPr>
        <w:pBdr/>
        <w:spacing/>
        <w:ind w:hanging="360" w:left="2160"/>
      </w:pPr>
      <w:rPr/>
      <w:start w:val="1"/>
      <w:suff w:val="tab"/>
    </w:lvl>
    <w:lvl w:ilvl="3">
      <w:isLgl w:val="false"/>
      <w:lvlJc w:val="left"/>
      <w:lvlText w:val="●"/>
      <w:numFmt w:val="bullet"/>
      <w:pPr>
        <w:pBdr/>
        <w:spacing/>
        <w:ind w:hanging="360" w:left="2880"/>
      </w:pPr>
      <w:rPr/>
      <w:start w:val="1"/>
      <w:suff w:val="tab"/>
    </w:lvl>
    <w:lvl w:ilvl="4">
      <w:isLgl w:val="false"/>
      <w:lvlJc w:val="left"/>
      <w:lvlText w:val="○"/>
      <w:numFmt w:val="bullet"/>
      <w:pPr>
        <w:pBdr/>
        <w:spacing/>
        <w:ind w:hanging="360" w:left="3600"/>
      </w:pPr>
      <w:rPr/>
      <w:start w:val="1"/>
      <w:suff w:val="tab"/>
    </w:lvl>
    <w:lvl w:ilvl="5">
      <w:isLgl w:val="false"/>
      <w:lvlJc w:val="left"/>
      <w:lvlText w:val="■"/>
      <w:numFmt w:val="bullet"/>
      <w:pPr>
        <w:pBdr/>
        <w:spacing/>
        <w:ind w:hanging="360" w:left="4320"/>
      </w:pPr>
      <w:rPr/>
      <w:start w:val="1"/>
      <w:suff w:val="tab"/>
    </w:lvl>
    <w:lvl w:ilvl="6">
      <w:isLgl w:val="false"/>
      <w:lvlJc w:val="left"/>
      <w:lvlText w:val="●"/>
      <w:numFmt w:val="bullet"/>
      <w:pPr>
        <w:pBdr/>
        <w:spacing/>
        <w:ind w:hanging="360" w:left="5040"/>
      </w:pPr>
      <w:rPr/>
      <w:start w:val="1"/>
      <w:suff w:val="tab"/>
    </w:lvl>
    <w:lvl w:ilvl="7">
      <w:isLgl w:val="false"/>
      <w:lvlJc w:val="left"/>
      <w:lvlText w:val="●"/>
      <w:numFmt w:val="bullet"/>
      <w:pPr>
        <w:pBdr/>
        <w:spacing/>
        <w:ind w:hanging="360" w:left="5760"/>
      </w:pPr>
      <w:rPr/>
      <w:start w:val="1"/>
      <w:suff w:val="tab"/>
    </w:lvl>
    <w:lvl w:ilvl="8">
      <w:isLgl w:val="false"/>
      <w:lvlJc w:val="left"/>
      <w:lvlText w:val="●"/>
      <w:numFmt w:val="bullet"/>
      <w:pPr>
        <w:pBdr/>
        <w:spacing/>
        <w:ind w:hanging="360" w:left="6480"/>
      </w:pPr>
      <w:rPr/>
      <w:start w:val="1"/>
      <w:suff w:val="tab"/>
    </w:lvl>
  </w:abstractNum>
  <w:abstractNum w:abstractNumId="1">
    <w:lvl w:ilvl="0">
      <w:isLgl w:val="false"/>
      <w:lvlJc w:val="left"/>
      <w:lvlText w:val="●"/>
      <w:numFmt w:val="bullet"/>
      <w:pPr>
        <w:pBdr/>
        <w:spacing/>
        <w:ind w:hanging="259" w:left="720"/>
      </w:pPr>
      <w:rPr/>
      <w:start w:val="1"/>
      <w:suff w:val="tab"/>
    </w:lvl>
    <w:lvl w:ilvl="1">
      <w:isLgl w:val="false"/>
      <w:lvlJc w:val="left"/>
      <w:lvlText w:val="○"/>
      <w:numFmt w:val="bullet"/>
      <w:pPr>
        <w:pBdr/>
        <w:spacing/>
        <w:ind w:hanging="259" w:left="1440"/>
      </w:pPr>
      <w:rPr/>
      <w:start w:val="1"/>
      <w:suff w:val="tab"/>
    </w:lvl>
    <w:lvl w:ilvl="2">
      <w:isLgl w:val="false"/>
      <w:lvlJc w:val="left"/>
      <w:lvlText w:val="■"/>
      <w:numFmt w:val="bullet"/>
      <w:pPr>
        <w:pBdr/>
        <w:spacing/>
        <w:ind w:hanging="259" w:left="2160"/>
      </w:pPr>
      <w:rPr/>
      <w:start w:val="1"/>
      <w:suff w:val="tab"/>
    </w:lvl>
    <w:lvl w:ilvl="3">
      <w:isLgl w:val="false"/>
      <w:lvlJc w:val="left"/>
      <w:lvlText w:val="●"/>
      <w:numFmt w:val="bullet"/>
      <w:pPr>
        <w:pBdr/>
        <w:spacing/>
        <w:ind w:hanging="259" w:left="2880"/>
      </w:pPr>
      <w:rPr/>
      <w:start w:val="1"/>
      <w:suff w:val="tab"/>
    </w:lvl>
    <w:lvl w:ilvl="4">
      <w:isLgl w:val="false"/>
      <w:lvlJc w:val="left"/>
      <w:lvlText w:val="○"/>
      <w:numFmt w:val="bullet"/>
      <w:pPr>
        <w:pBdr/>
        <w:spacing/>
        <w:ind w:hanging="259" w:left="3600"/>
      </w:pPr>
      <w:rPr/>
      <w:start w:val="1"/>
      <w:suff w:val="tab"/>
    </w:lvl>
    <w:lvl w:ilvl="5">
      <w:isLgl w:val="false"/>
      <w:lvlJc w:val="left"/>
      <w:lvlText w:val="■"/>
      <w:numFmt w:val="bullet"/>
      <w:pPr>
        <w:pBdr/>
        <w:spacing/>
        <w:ind w:hanging="259" w:left="4320"/>
      </w:pPr>
      <w:rPr/>
      <w:start w:val="1"/>
      <w:suff w:val="tab"/>
    </w:lvl>
    <w:lvl w:ilvl="6">
      <w:isLgl w:val="false"/>
      <w:lvlJc w:val="left"/>
      <w:lvlText w:val="●"/>
      <w:numFmt w:val="bullet"/>
      <w:pPr>
        <w:pBdr/>
        <w:spacing/>
        <w:ind w:hanging="259" w:left="5040"/>
      </w:pPr>
      <w:rPr/>
      <w:start w:val="1"/>
      <w:suff w:val="tab"/>
    </w:lvl>
    <w:lvl w:ilvl="7">
      <w:isLgl w:val="false"/>
      <w:lvlJc w:val="left"/>
      <w:lvlText w:val="○"/>
      <w:numFmt w:val="bullet"/>
      <w:pPr>
        <w:pBdr/>
        <w:spacing/>
        <w:ind w:hanging="259" w:left="5760"/>
      </w:pPr>
      <w:rPr/>
      <w:start w:val="1"/>
      <w:suff w:val="tab"/>
    </w:lvl>
    <w:lvl w:ilvl="8">
      <w:isLgl w:val="false"/>
      <w:lvlJc w:val="left"/>
      <w:lvlText w:val="■"/>
      <w:numFmt w:val="bullet"/>
      <w:pPr>
        <w:pBdr/>
        <w:spacing/>
        <w:ind w:hanging="259" w:left="6480"/>
      </w:pPr>
      <w:rPr/>
      <w:start w:val="1"/>
      <w:suff w:val="tab"/>
    </w:lvl>
  </w:abstractNum>
  <w:abstractNum w:abstractNumId="2">
    <w:lvl w:ilvl="0">
      <w:isLgl w:val="false"/>
      <w:lvlJc w:val="left"/>
      <w:lvlText w:val="%1."/>
      <w:numFmt w:val="decimal"/>
      <w:pPr>
        <w:pBdr/>
        <w:spacing/>
        <w:ind w:hanging="259" w:left="997"/>
      </w:pPr>
      <w:rPr/>
      <w:start w:val="1"/>
      <w:suff w:val="tab"/>
    </w:lvl>
    <w:lvl w:ilvl="1">
      <w:isLgl w:val="false"/>
      <w:lvlJc w:val="left"/>
      <w:lvlText w:val="%2."/>
      <w:numFmt w:val="lowerLetter"/>
      <w:pPr>
        <w:pBdr/>
        <w:spacing/>
        <w:ind w:hanging="259" w:left="1717"/>
      </w:pPr>
      <w:rPr/>
      <w:start w:val="1"/>
      <w:suff w:val="tab"/>
    </w:lvl>
    <w:lvl w:ilvl="2">
      <w:isLgl w:val="false"/>
      <w:lvlJc w:val="left"/>
      <w:lvlText w:val="%3."/>
      <w:numFmt w:val="lowerRoman"/>
      <w:pPr>
        <w:pBdr/>
        <w:spacing/>
        <w:ind w:hanging="259" w:left="2437"/>
      </w:pPr>
      <w:rPr/>
      <w:start w:val="1"/>
      <w:suff w:val="tab"/>
    </w:lvl>
    <w:lvl w:ilvl="3">
      <w:isLgl w:val="false"/>
      <w:lvlJc w:val="left"/>
      <w:lvlText w:val="%4."/>
      <w:numFmt w:val="decimal"/>
      <w:pPr>
        <w:pBdr/>
        <w:spacing/>
        <w:ind w:hanging="259" w:left="3157"/>
      </w:pPr>
      <w:rPr/>
      <w:start w:val="1"/>
      <w:suff w:val="tab"/>
    </w:lvl>
    <w:lvl w:ilvl="4">
      <w:isLgl w:val="false"/>
      <w:lvlJc w:val="left"/>
      <w:lvlText w:val="%5."/>
      <w:numFmt w:val="lowerLetter"/>
      <w:pPr>
        <w:pBdr/>
        <w:spacing/>
        <w:ind w:hanging="259" w:left="3877"/>
      </w:pPr>
      <w:rPr/>
      <w:start w:val="1"/>
      <w:suff w:val="tab"/>
    </w:lvl>
    <w:lvl w:ilvl="5">
      <w:isLgl w:val="false"/>
      <w:lvlJc w:val="left"/>
      <w:lvlText w:val="%6."/>
      <w:numFmt w:val="lowerRoman"/>
      <w:pPr>
        <w:pBdr/>
        <w:spacing/>
        <w:ind w:hanging="259" w:left="4597"/>
      </w:pPr>
      <w:rPr/>
      <w:start w:val="1"/>
      <w:suff w:val="tab"/>
    </w:lvl>
    <w:lvl w:ilvl="6">
      <w:isLgl w:val="false"/>
      <w:lvlJc w:val="left"/>
      <w:lvlText w:val="%7."/>
      <w:numFmt w:val="decimal"/>
      <w:pPr>
        <w:pBdr/>
        <w:spacing/>
        <w:ind w:hanging="259" w:left="5317"/>
      </w:pPr>
      <w:rPr/>
      <w:start w:val="1"/>
      <w:suff w:val="tab"/>
    </w:lvl>
    <w:lvl w:ilvl="7">
      <w:isLgl w:val="false"/>
      <w:lvlJc w:val="left"/>
      <w:lvlText w:val="%8."/>
      <w:numFmt w:val="lowerLetter"/>
      <w:pPr>
        <w:pBdr/>
        <w:spacing/>
        <w:ind w:hanging="259" w:left="6037"/>
      </w:pPr>
      <w:rPr/>
      <w:start w:val="1"/>
      <w:suff w:val="tab"/>
    </w:lvl>
    <w:lvl w:ilvl="8">
      <w:isLgl w:val="false"/>
      <w:lvlJc w:val="left"/>
      <w:lvlText w:val="%9."/>
      <w:numFmt w:val="lowerRoman"/>
      <w:pPr>
        <w:pBdr/>
        <w:spacing/>
        <w:ind w:hanging="259" w:left="6757"/>
      </w:pPr>
      <w:rPr/>
      <w:start w:val="1"/>
      <w:suff w:val="tab"/>
    </w:lvl>
  </w:abstractNum>
  <w:abstractNum w:abstractNumId="3">
    <w:lvl w:ilvl="0">
      <w:isLgl w:val="false"/>
      <w:lvlJc w:val="left"/>
      <w:lvlText w:val="%1."/>
      <w:numFmt w:val="decimal"/>
      <w:pPr>
        <w:pBdr/>
        <w:spacing/>
        <w:ind w:hanging="259" w:left="720"/>
      </w:pPr>
      <w:rPr/>
      <w:start w:val="1"/>
      <w:suff w:val="tab"/>
    </w:lvl>
    <w:lvl w:ilvl="1">
      <w:isLgl w:val="false"/>
      <w:lvlJc w:val="left"/>
      <w:lvlText w:val="%2."/>
      <w:numFmt w:val="lowerLetter"/>
      <w:pPr>
        <w:pBdr/>
        <w:spacing/>
        <w:ind w:hanging="259" w:left="1440"/>
      </w:pPr>
      <w:rPr/>
      <w:start w:val="1"/>
      <w:suff w:val="tab"/>
    </w:lvl>
    <w:lvl w:ilvl="2">
      <w:isLgl w:val="false"/>
      <w:lvlJc w:val="left"/>
      <w:lvlText w:val="%3."/>
      <w:numFmt w:val="lowerRoman"/>
      <w:pPr>
        <w:pBdr/>
        <w:spacing/>
        <w:ind w:hanging="259" w:left="2160"/>
      </w:pPr>
      <w:rPr/>
      <w:start w:val="1"/>
      <w:suff w:val="tab"/>
    </w:lvl>
    <w:lvl w:ilvl="3">
      <w:isLgl w:val="false"/>
      <w:lvlJc w:val="left"/>
      <w:lvlText w:val="%4."/>
      <w:numFmt w:val="decimal"/>
      <w:pPr>
        <w:pBdr/>
        <w:spacing/>
        <w:ind w:hanging="259" w:left="2880"/>
      </w:pPr>
      <w:rPr/>
      <w:start w:val="1"/>
      <w:suff w:val="tab"/>
    </w:lvl>
    <w:lvl w:ilvl="4">
      <w:isLgl w:val="false"/>
      <w:lvlJc w:val="left"/>
      <w:lvlText w:val="%5."/>
      <w:numFmt w:val="lowerLetter"/>
      <w:pPr>
        <w:pBdr/>
        <w:spacing/>
        <w:ind w:hanging="259" w:left="3600"/>
      </w:pPr>
      <w:rPr/>
      <w:start w:val="1"/>
      <w:suff w:val="tab"/>
    </w:lvl>
    <w:lvl w:ilvl="5">
      <w:isLgl w:val="false"/>
      <w:lvlJc w:val="left"/>
      <w:lvlText w:val="%6."/>
      <w:numFmt w:val="lowerRoman"/>
      <w:pPr>
        <w:pBdr/>
        <w:spacing/>
        <w:ind w:hanging="259" w:left="4320"/>
      </w:pPr>
      <w:rPr/>
      <w:start w:val="1"/>
      <w:suff w:val="tab"/>
    </w:lvl>
    <w:lvl w:ilvl="6">
      <w:isLgl w:val="false"/>
      <w:lvlJc w:val="left"/>
      <w:lvlText w:val="%7."/>
      <w:numFmt w:val="decimal"/>
      <w:pPr>
        <w:pBdr/>
        <w:spacing/>
        <w:ind w:hanging="259" w:left="5040"/>
      </w:pPr>
      <w:rPr/>
      <w:start w:val="1"/>
      <w:suff w:val="tab"/>
    </w:lvl>
    <w:lvl w:ilvl="7">
      <w:isLgl w:val="false"/>
      <w:lvlJc w:val="left"/>
      <w:lvlText w:val="%8."/>
      <w:numFmt w:val="lowerLetter"/>
      <w:pPr>
        <w:pBdr/>
        <w:spacing/>
        <w:ind w:hanging="259" w:left="5760"/>
      </w:pPr>
      <w:rPr/>
      <w:start w:val="1"/>
      <w:suff w:val="tab"/>
    </w:lvl>
    <w:lvl w:ilvl="8">
      <w:isLgl w:val="false"/>
      <w:lvlJc w:val="left"/>
      <w:lvlText w:val="%9."/>
      <w:numFmt w:val="lowerRoman"/>
      <w:pPr>
        <w:pBdr/>
        <w:spacing/>
        <w:ind w:hanging="259" w:left="6480"/>
      </w:pPr>
      <w:rPr/>
      <w:start w:val="1"/>
      <w:suff w:val="tab"/>
    </w:lvl>
  </w:abstractNum>
  <w:num w:numId="1">
    <w:abstractNumId w:val="0"/>
    <w:lvlOverride w:ilvl="0">
      <w:startOverride w:val="1"/>
    </w:lvlOverride>
  </w:num>
  <w:num w:numId="2">
    <w:abstractNumId w:val="1"/>
    <w:lvlOverride w:ilvl="0">
      <w:startOverride w:val="1"/>
    </w:lvlOverride>
  </w:num>
  <w:num w:numId="3">
    <w:abstractNumId w:val="2"/>
    <w:lvlOverride w:ilvl="0">
      <w:startOverride w:val="1"/>
    </w:lvlOverride>
  </w:num>
  <w:num w:numId="4">
    <w:abstractNumId w:val="3"/>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09"/>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lang w:val="en-CA" w:eastAsia="en-US" w:bidi="ar-SA"/>
      </w:rPr>
    </w:rPrDefault>
    <w:pPrDefault>
      <w:pPr>
        <w:pBdr/>
        <w:spacing/>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12">
    <w:name w:val="Table Grid"/>
    <w:basedOn w:val="743"/>
    <w:uiPriority w:val="59"/>
    <w:pPr>
      <w:pBdr/>
      <w:spacing w:after="0" w:line="240" w:lineRule="auto"/>
      <w:ind/>
    </w:pPr>
    <w:tblPr>
      <w:tblInd w:w="0" w:type="dxa"/>
      <w:tblCellMar>
        <w:left w:w="108" w:type="dxa"/>
        <w:top w:w="0" w:type="dxa"/>
        <w:right w:w="108" w:type="dxa"/>
        <w:bottom w:w="0"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
    <w:name w:val="Table Grid Light"/>
    <w:basedOn w:val="743"/>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
    <w:name w:val="Plain Table 1"/>
    <w:basedOn w:val="743"/>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
    <w:name w:val="Plain Table 2"/>
    <w:basedOn w:val="743"/>
    <w:uiPriority w:val="59"/>
    <w:pPr>
      <w:pBdr/>
      <w:spacing w:after="0" w:line="240" w:lineRule="auto"/>
      <w:ind/>
    </w:pPr>
    <w:tblPr>
      <w:tblInd w:w="0" w:type="dxa"/>
      <w:tblCellMar>
        <w:left w:w="108" w:type="dxa"/>
        <w:top w:w="0" w:type="dxa"/>
        <w:right w:w="108" w:type="dxa"/>
        <w:bottom w:w="0" w:type="dxa"/>
      </w:tblCellMa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
    <w:name w:val="Plain Table 3"/>
    <w:basedOn w:val="743"/>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
    <w:name w:val="Plain Table 4"/>
    <w:basedOn w:val="743"/>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
    <w:name w:val="Plain Table 5"/>
    <w:basedOn w:val="743"/>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9">
    <w:name w:val="Grid Table 1 Light"/>
    <w:basedOn w:val="743"/>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0">
    <w:name w:val="Grid Table 1 Light - Accent 1"/>
    <w:basedOn w:val="743"/>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
    <w:name w:val="Grid Table 1 Light - Accent 2"/>
    <w:basedOn w:val="743"/>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2">
    <w:name w:val="Grid Table 1 Light - Accent 3"/>
    <w:basedOn w:val="743"/>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3">
    <w:name w:val="Grid Table 1 Light - Accent 4"/>
    <w:basedOn w:val="743"/>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4">
    <w:name w:val="Grid Table 1 Light - Accent 5"/>
    <w:basedOn w:val="743"/>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
    <w:name w:val="Grid Table 1 Light - Accent 6"/>
    <w:basedOn w:val="743"/>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6">
    <w:name w:val="Grid Table 2"/>
    <w:basedOn w:val="743"/>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
    <w:name w:val="Grid Table 2 - Accent 1"/>
    <w:basedOn w:val="743"/>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
    <w:name w:val="Grid Table 2 - Accent 2"/>
    <w:basedOn w:val="743"/>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9">
    <w:name w:val="Grid Table 2 - Accent 3"/>
    <w:basedOn w:val="743"/>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0">
    <w:name w:val="Grid Table 2 - Accent 4"/>
    <w:basedOn w:val="743"/>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1">
    <w:name w:val="Grid Table 2 - Accent 5"/>
    <w:basedOn w:val="743"/>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
    <w:name w:val="Grid Table 2 - Accent 6"/>
    <w:basedOn w:val="743"/>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3">
    <w:name w:val="Grid Table 3"/>
    <w:basedOn w:val="743"/>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
    <w:name w:val="Grid Table 3 - Accent 1"/>
    <w:basedOn w:val="743"/>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
    <w:name w:val="Grid Table 3 - Accent 2"/>
    <w:basedOn w:val="743"/>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6">
    <w:name w:val="Grid Table 3 - Accent 3"/>
    <w:basedOn w:val="743"/>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7">
    <w:name w:val="Grid Table 3 - Accent 4"/>
    <w:basedOn w:val="743"/>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8">
    <w:name w:val="Grid Table 3 - Accent 5"/>
    <w:basedOn w:val="743"/>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9">
    <w:name w:val="Grid Table 3 - Accent 6"/>
    <w:basedOn w:val="743"/>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0">
    <w:name w:val="Grid Table 4"/>
    <w:basedOn w:val="743"/>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1">
    <w:name w:val="Grid Table 4 - Accent 1"/>
    <w:basedOn w:val="743"/>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dce6f2"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dce6f2"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5d8bc2"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2">
    <w:name w:val="Grid Table 4 - Accent 2"/>
    <w:basedOn w:val="743"/>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da9796"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3">
    <w:name w:val="Grid Table 4 - Accent 3"/>
    <w:basedOn w:val="743"/>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9bbb5a"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4">
    <w:name w:val="Grid Table 4 - Accent 4"/>
    <w:basedOn w:val="743"/>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b2a1c7"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5">
    <w:name w:val="Grid Table 4 - Accent 5"/>
    <w:basedOn w:val="743"/>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bacc6"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6">
    <w:name w:val="Grid Table 4 - Accent 6"/>
    <w:basedOn w:val="743"/>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f79646"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7">
    <w:name w:val="Grid Table 5 Dark"/>
    <w:basedOn w:val="743"/>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8">
    <w:name w:val="Grid Table 5 Dark- Accent 1"/>
    <w:basedOn w:val="743"/>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dbe5f2" w:themeFill="accent1" w:themeFillTint="34"/>
    </w:tblPr>
    <w:tcPr>
      <w:tcBorders/>
    </w:tcPr>
    <w:tblStylePr w:type="band1Horz">
      <w:pPr>
        <w:pBdr/>
        <w:spacing/>
        <w:ind/>
      </w:pPr>
      <w:tblPr>
        <w:tblBorders/>
      </w:tblPr>
      <w:tcPr>
        <w:shd w:val="clear" w:color="ffffff" w:themeColor="accent1" w:themeTint="75" w:fill="aec5e1" w:themeFill="accent1" w:themeFillTint="75"/>
        <w:tcBorders/>
      </w:tcPr>
    </w:tblStylePr>
    <w:tblStylePr w:type="band1Vert">
      <w:pPr>
        <w:pBdr/>
        <w:spacing/>
        <w:ind/>
      </w:pPr>
      <w:tblPr>
        <w:tblBorders/>
      </w:tblPr>
      <w:tcPr>
        <w:shd w:val="clear" w:color="ffffff" w:themeColor="accent1" w:themeTint="75" w:fill="aec5e1"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4f81bd" w:themeFill="accent1"/>
        <w:tcBorders/>
      </w:tcPr>
    </w:tblStylePr>
    <w:tblStylePr w:type="firstRow">
      <w:rPr>
        <w:rFonts w:ascii="Arial" w:hAnsi="Arial"/>
        <w:b/>
        <w:color w:val="ffffff"/>
        <w:sz w:val="22"/>
      </w:rPr>
      <w:pPr>
        <w:pBdr/>
        <w:spacing/>
        <w:ind/>
      </w:pPr>
      <w:tblPr>
        <w:tblBorders/>
      </w:tblPr>
      <w:tcPr>
        <w:shd w:val="clear" w:color="ffffff" w:themeColor="accent1" w:fill="4f81bd" w:themeFill="accent1"/>
        <w:tcBorders/>
      </w:tcPr>
    </w:tblStylePr>
    <w:tblStylePr w:type="lastCol">
      <w:rPr>
        <w:rFonts w:ascii="Arial" w:hAnsi="Arial"/>
        <w:b/>
        <w:color w:val="ffffff"/>
        <w:sz w:val="22"/>
      </w:rPr>
      <w:pPr>
        <w:pBdr/>
        <w:spacing/>
        <w:ind/>
      </w:pPr>
      <w:tblPr>
        <w:tblBorders/>
      </w:tblPr>
      <w:tcPr>
        <w:shd w:val="clear" w:color="ffffff" w:themeColor="accent1" w:fill="4f81bd" w:themeFill="accent1"/>
        <w:tcBorders/>
      </w:tcPr>
    </w:tblStylePr>
    <w:tblStylePr w:type="lastRow">
      <w:rPr>
        <w:rFonts w:ascii="Arial" w:hAnsi="Arial"/>
        <w:b/>
        <w:color w:val="ffffff"/>
        <w:sz w:val="22"/>
      </w:rPr>
      <w:pPr>
        <w:pBdr/>
        <w:spacing/>
        <w:ind/>
      </w:pPr>
      <w:tblPr>
        <w:tblBorders/>
      </w:tblPr>
      <w:tcPr>
        <w:shd w:val="clear" w:color="ffffff" w:themeColor="accent1" w:fill="4f81bd"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9">
    <w:name w:val="Grid Table 5 Dark - Accent 2"/>
    <w:basedOn w:val="743"/>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3dddc" w:themeFill="accent2" w:themeFillTint="32"/>
    </w:tblPr>
    <w:tcPr>
      <w:tcBorders/>
    </w:tcPr>
    <w:tblStylePr w:type="band1Horz">
      <w:pPr>
        <w:pBdr/>
        <w:spacing/>
        <w:ind/>
      </w:pPr>
      <w:tblPr>
        <w:tblBorders/>
      </w:tblPr>
      <w:tcPr>
        <w:shd w:val="clear" w:color="ffffff" w:themeColor="accent2" w:themeTint="75" w:fill="e2afad" w:themeFill="accent2" w:themeFillTint="75"/>
        <w:tcBorders/>
      </w:tcPr>
    </w:tblStylePr>
    <w:tblStylePr w:type="band1Vert">
      <w:pPr>
        <w:pBdr/>
        <w:spacing/>
        <w:ind/>
      </w:pPr>
      <w:tblPr>
        <w:tblBorders/>
      </w:tblPr>
      <w:tcPr>
        <w:shd w:val="clear" w:color="ffffff" w:themeColor="accent2" w:themeTint="75" w:fill="e2afad"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c0504d" w:themeFill="accent2"/>
        <w:tcBorders/>
      </w:tcPr>
    </w:tblStylePr>
    <w:tblStylePr w:type="firstRow">
      <w:rPr>
        <w:rFonts w:ascii="Arial" w:hAnsi="Arial"/>
        <w:b/>
        <w:color w:val="ffffff"/>
        <w:sz w:val="22"/>
      </w:rPr>
      <w:pPr>
        <w:pBdr/>
        <w:spacing/>
        <w:ind/>
      </w:pPr>
      <w:tblPr>
        <w:tblBorders/>
      </w:tblPr>
      <w:tcPr>
        <w:shd w:val="clear" w:color="ffffff" w:themeColor="accent2" w:fill="c0504d" w:themeFill="accent2"/>
        <w:tcBorders/>
      </w:tcPr>
    </w:tblStylePr>
    <w:tblStylePr w:type="lastCol">
      <w:rPr>
        <w:rFonts w:ascii="Arial" w:hAnsi="Arial"/>
        <w:b/>
        <w:color w:val="ffffff"/>
        <w:sz w:val="22"/>
      </w:rPr>
      <w:pPr>
        <w:pBdr/>
        <w:spacing/>
        <w:ind/>
      </w:pPr>
      <w:tblPr>
        <w:tblBorders/>
      </w:tblPr>
      <w:tcPr>
        <w:shd w:val="clear" w:color="ffffff" w:themeColor="accent2" w:fill="c0504d" w:themeFill="accent2"/>
        <w:tcBorders/>
      </w:tcPr>
    </w:tblStylePr>
    <w:tblStylePr w:type="lastRow">
      <w:rPr>
        <w:rFonts w:ascii="Arial" w:hAnsi="Arial"/>
        <w:b/>
        <w:color w:val="ffffff"/>
        <w:sz w:val="22"/>
      </w:rPr>
      <w:pPr>
        <w:pBdr/>
        <w:spacing/>
        <w:ind/>
      </w:pPr>
      <w:tblPr>
        <w:tblBorders/>
      </w:tblPr>
      <w:tcPr>
        <w:shd w:val="clear" w:color="ffffff" w:themeColor="accent2" w:fill="c0504d"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0">
    <w:name w:val="Grid Table 5 Dark - Accent 3"/>
    <w:basedOn w:val="743"/>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ebf1dd" w:themeFill="accent3" w:themeFillTint="34"/>
    </w:tblPr>
    <w:tcPr>
      <w:tcBorders/>
    </w:tcPr>
    <w:tblStylePr w:type="band1Horz">
      <w:pPr>
        <w:pBdr/>
        <w:spacing/>
        <w:ind/>
      </w:pPr>
      <w:tblPr>
        <w:tblBorders/>
      </w:tblPr>
      <w:tcPr>
        <w:shd w:val="clear" w:color="ffffff" w:themeColor="accent3" w:themeTint="75" w:fill="d1e0b3" w:themeFill="accent3" w:themeFillTint="75"/>
        <w:tcBorders/>
      </w:tcPr>
    </w:tblStylePr>
    <w:tblStylePr w:type="band1Vert">
      <w:pPr>
        <w:pBdr/>
        <w:spacing/>
        <w:ind/>
      </w:pPr>
      <w:tblPr>
        <w:tblBorders/>
      </w:tblPr>
      <w:tcPr>
        <w:shd w:val="clear" w:color="ffffff" w:themeColor="accent3" w:themeTint="75" w:fill="d1e0b3"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9bbb59" w:themeFill="accent3"/>
        <w:tcBorders/>
      </w:tcPr>
    </w:tblStylePr>
    <w:tblStylePr w:type="firstRow">
      <w:rPr>
        <w:rFonts w:ascii="Arial" w:hAnsi="Arial"/>
        <w:b/>
        <w:color w:val="ffffff"/>
        <w:sz w:val="22"/>
      </w:rPr>
      <w:pPr>
        <w:pBdr/>
        <w:spacing/>
        <w:ind/>
      </w:pPr>
      <w:tblPr>
        <w:tblBorders/>
      </w:tblPr>
      <w:tcPr>
        <w:shd w:val="clear" w:color="ffffff" w:themeColor="accent3" w:fill="9bbb59" w:themeFill="accent3"/>
        <w:tcBorders/>
      </w:tcPr>
    </w:tblStylePr>
    <w:tblStylePr w:type="lastCol">
      <w:rPr>
        <w:rFonts w:ascii="Arial" w:hAnsi="Arial"/>
        <w:b/>
        <w:color w:val="ffffff"/>
        <w:sz w:val="22"/>
      </w:rPr>
      <w:pPr>
        <w:pBdr/>
        <w:spacing/>
        <w:ind/>
      </w:pPr>
      <w:tblPr>
        <w:tblBorders/>
      </w:tblPr>
      <w:tcPr>
        <w:shd w:val="clear" w:color="ffffff" w:themeColor="accent3" w:fill="9bbb59" w:themeFill="accent3"/>
        <w:tcBorders/>
      </w:tcPr>
    </w:tblStylePr>
    <w:tblStylePr w:type="lastRow">
      <w:rPr>
        <w:rFonts w:ascii="Arial" w:hAnsi="Arial"/>
        <w:b/>
        <w:color w:val="ffffff"/>
        <w:sz w:val="22"/>
      </w:rPr>
      <w:pPr>
        <w:pBdr/>
        <w:spacing/>
        <w:ind/>
      </w:pPr>
      <w:tblPr>
        <w:tblBorders/>
      </w:tblPr>
      <w:tcPr>
        <w:shd w:val="clear" w:color="ffffff" w:themeColor="accent3" w:fill="9bbb59"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1">
    <w:name w:val="Grid Table 5 Dark- Accent 4"/>
    <w:basedOn w:val="743"/>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e5dfec" w:themeFill="accent4" w:themeFillTint="34"/>
    </w:tblPr>
    <w:tcPr>
      <w:tcBorders/>
    </w:tcPr>
    <w:tblStylePr w:type="band1Horz">
      <w:pPr>
        <w:pBdr/>
        <w:spacing/>
        <w:ind/>
      </w:pPr>
      <w:tblPr>
        <w:tblBorders/>
      </w:tblPr>
      <w:tcPr>
        <w:shd w:val="clear" w:color="ffffff" w:themeColor="accent4" w:themeTint="75" w:fill="c5b8d4" w:themeFill="accent4" w:themeFillTint="75"/>
        <w:tcBorders/>
      </w:tcPr>
    </w:tblStylePr>
    <w:tblStylePr w:type="band1Vert">
      <w:pPr>
        <w:pBdr/>
        <w:spacing/>
        <w:ind/>
      </w:pPr>
      <w:tblPr>
        <w:tblBorders/>
      </w:tblPr>
      <w:tcPr>
        <w:shd w:val="clear" w:color="ffffff" w:themeColor="accent4" w:themeTint="75" w:fill="c5b8d4"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8064a2" w:themeFill="accent4"/>
        <w:tcBorders/>
      </w:tcPr>
    </w:tblStylePr>
    <w:tblStylePr w:type="firstRow">
      <w:rPr>
        <w:rFonts w:ascii="Arial" w:hAnsi="Arial"/>
        <w:b/>
        <w:color w:val="ffffff"/>
        <w:sz w:val="22"/>
      </w:rPr>
      <w:pPr>
        <w:pBdr/>
        <w:spacing/>
        <w:ind/>
      </w:pPr>
      <w:tblPr>
        <w:tblBorders/>
      </w:tblPr>
      <w:tcPr>
        <w:shd w:val="clear" w:color="ffffff" w:themeColor="accent4" w:fill="8064a2" w:themeFill="accent4"/>
        <w:tcBorders/>
      </w:tcPr>
    </w:tblStylePr>
    <w:tblStylePr w:type="lastCol">
      <w:rPr>
        <w:rFonts w:ascii="Arial" w:hAnsi="Arial"/>
        <w:b/>
        <w:color w:val="ffffff"/>
        <w:sz w:val="22"/>
      </w:rPr>
      <w:pPr>
        <w:pBdr/>
        <w:spacing/>
        <w:ind/>
      </w:pPr>
      <w:tblPr>
        <w:tblBorders/>
      </w:tblPr>
      <w:tcPr>
        <w:shd w:val="clear" w:color="ffffff" w:themeColor="accent4" w:fill="8064a2" w:themeFill="accent4"/>
        <w:tcBorders/>
      </w:tcPr>
    </w:tblStylePr>
    <w:tblStylePr w:type="lastRow">
      <w:rPr>
        <w:rFonts w:ascii="Arial" w:hAnsi="Arial"/>
        <w:b/>
        <w:color w:val="ffffff"/>
        <w:sz w:val="22"/>
      </w:rPr>
      <w:pPr>
        <w:pBdr/>
        <w:spacing/>
        <w:ind/>
      </w:pPr>
      <w:tblPr>
        <w:tblBorders/>
      </w:tblPr>
      <w:tcPr>
        <w:shd w:val="clear" w:color="ffffff" w:themeColor="accent4" w:fill="8064a2"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2">
    <w:name w:val="Grid Table 5 Dark - Accent 5"/>
    <w:basedOn w:val="743"/>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daeef3" w:themeFill="accent5" w:themeFillTint="34"/>
    </w:tblPr>
    <w:tcPr>
      <w:tcBorders/>
    </w:tcPr>
    <w:tblStylePr w:type="band1Horz">
      <w:pPr>
        <w:pBdr/>
        <w:spacing/>
        <w:ind/>
      </w:pPr>
      <w:tblPr>
        <w:tblBorders/>
      </w:tblPr>
      <w:tcPr>
        <w:shd w:val="clear" w:color="ffffff" w:themeColor="accent5" w:themeTint="75" w:fill="acd9e5" w:themeFill="accent5" w:themeFillTint="75"/>
        <w:tcBorders/>
      </w:tcPr>
    </w:tblStylePr>
    <w:tblStylePr w:type="band1Vert">
      <w:pPr>
        <w:pBdr/>
        <w:spacing/>
        <w:ind/>
      </w:pPr>
      <w:tblPr>
        <w:tblBorders/>
      </w:tblPr>
      <w:tcPr>
        <w:shd w:val="clear" w:color="ffffff" w:themeColor="accent5" w:themeTint="75" w:fill="acd9e5"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4bacc6" w:themeFill="accent5"/>
        <w:tcBorders/>
      </w:tcPr>
    </w:tblStylePr>
    <w:tblStylePr w:type="firstRow">
      <w:rPr>
        <w:rFonts w:ascii="Arial" w:hAnsi="Arial"/>
        <w:b/>
        <w:color w:val="ffffff"/>
        <w:sz w:val="22"/>
      </w:rPr>
      <w:pPr>
        <w:pBdr/>
        <w:spacing/>
        <w:ind/>
      </w:pPr>
      <w:tblPr>
        <w:tblBorders/>
      </w:tblPr>
      <w:tcPr>
        <w:shd w:val="clear" w:color="ffffff" w:themeColor="accent5" w:fill="4bacc6" w:themeFill="accent5"/>
        <w:tcBorders/>
      </w:tcPr>
    </w:tblStylePr>
    <w:tblStylePr w:type="lastCol">
      <w:rPr>
        <w:rFonts w:ascii="Arial" w:hAnsi="Arial"/>
        <w:b/>
        <w:color w:val="ffffff"/>
        <w:sz w:val="22"/>
      </w:rPr>
      <w:pPr>
        <w:pBdr/>
        <w:spacing/>
        <w:ind/>
      </w:pPr>
      <w:tblPr>
        <w:tblBorders/>
      </w:tblPr>
      <w:tcPr>
        <w:shd w:val="clear" w:color="ffffff" w:themeColor="accent5" w:fill="4bacc6" w:themeFill="accent5"/>
        <w:tcBorders/>
      </w:tcPr>
    </w:tblStylePr>
    <w:tblStylePr w:type="lastRow">
      <w:rPr>
        <w:rFonts w:ascii="Arial" w:hAnsi="Arial"/>
        <w:b/>
        <w:color w:val="ffffff"/>
        <w:sz w:val="22"/>
      </w:rPr>
      <w:pPr>
        <w:pBdr/>
        <w:spacing/>
        <w:ind/>
      </w:pPr>
      <w:tblPr>
        <w:tblBorders/>
      </w:tblPr>
      <w:tcPr>
        <w:shd w:val="clear" w:color="ffffff" w:themeColor="accent5" w:fill="4bacc6"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3">
    <w:name w:val="Grid Table 5 Dark - Accent 6"/>
    <w:basedOn w:val="743"/>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fdead9" w:themeFill="accent6" w:themeFillTint="34"/>
    </w:tblPr>
    <w:tcPr>
      <w:tcBorders/>
    </w:tcPr>
    <w:tblStylePr w:type="band1Horz">
      <w:pPr>
        <w:pBdr/>
        <w:spacing/>
        <w:ind/>
      </w:pPr>
      <w:tblPr>
        <w:tblBorders/>
      </w:tblPr>
      <w:tcPr>
        <w:shd w:val="clear" w:color="ffffff" w:themeColor="accent6" w:themeTint="75" w:fill="fbcfaa" w:themeFill="accent6" w:themeFillTint="75"/>
        <w:tcBorders/>
      </w:tcPr>
    </w:tblStylePr>
    <w:tblStylePr w:type="band1Vert">
      <w:pPr>
        <w:pBdr/>
        <w:spacing/>
        <w:ind/>
      </w:pPr>
      <w:tblPr>
        <w:tblBorders/>
      </w:tblPr>
      <w:tcPr>
        <w:shd w:val="clear" w:color="ffffff" w:themeColor="accent6" w:themeTint="75" w:fill="fbcfaa"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f79646" w:themeFill="accent6"/>
        <w:tcBorders/>
      </w:tcPr>
    </w:tblStylePr>
    <w:tblStylePr w:type="firstRow">
      <w:rPr>
        <w:rFonts w:ascii="Arial" w:hAnsi="Arial"/>
        <w:b/>
        <w:color w:val="ffffff"/>
        <w:sz w:val="22"/>
      </w:rPr>
      <w:pPr>
        <w:pBdr/>
        <w:spacing/>
        <w:ind/>
      </w:pPr>
      <w:tblPr>
        <w:tblBorders/>
      </w:tblPr>
      <w:tcPr>
        <w:shd w:val="clear" w:color="ffffff" w:themeColor="accent6" w:fill="f79646" w:themeFill="accent6"/>
        <w:tcBorders/>
      </w:tcPr>
    </w:tblStylePr>
    <w:tblStylePr w:type="lastCol">
      <w:rPr>
        <w:rFonts w:ascii="Arial" w:hAnsi="Arial"/>
        <w:b/>
        <w:color w:val="ffffff"/>
        <w:sz w:val="22"/>
      </w:rPr>
      <w:pPr>
        <w:pBdr/>
        <w:spacing/>
        <w:ind/>
      </w:pPr>
      <w:tblPr>
        <w:tblBorders/>
      </w:tblPr>
      <w:tcPr>
        <w:shd w:val="clear" w:color="ffffff" w:themeColor="accent6" w:fill="f79646" w:themeFill="accent6"/>
        <w:tcBorders/>
      </w:tcPr>
    </w:tblStylePr>
    <w:tblStylePr w:type="lastRow">
      <w:rPr>
        <w:rFonts w:ascii="Arial" w:hAnsi="Arial"/>
        <w:b/>
        <w:color w:val="ffffff"/>
        <w:sz w:val="22"/>
      </w:rPr>
      <w:pPr>
        <w:pBdr/>
        <w:spacing/>
        <w:ind/>
      </w:pPr>
      <w:tblPr>
        <w:tblBorders/>
      </w:tblPr>
      <w:tcPr>
        <w:shd w:val="clear" w:color="ffffff" w:themeColor="accent6" w:fill="f79646"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4">
    <w:name w:val="Grid Table 6 Colorful"/>
    <w:basedOn w:val="743"/>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55">
    <w:name w:val="Grid Table 6 Colorful - Accent 1"/>
    <w:basedOn w:val="743"/>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dbe5f2" w:themeFill="accent1" w:themeFillTint="34"/>
        <w:tcBorders/>
      </w:tcPr>
    </w:tblStylePr>
    <w:tblStylePr w:type="band1Vert">
      <w:pPr>
        <w:pBdr/>
        <w:spacing/>
        <w:ind/>
      </w:pPr>
      <w:tblPr>
        <w:tblBorders/>
      </w:tblPr>
      <w:tcPr>
        <w:shd w:val="clear" w:color="ffffff" w:themeColor="accent1" w:themeTint="34" w:fill="dbe5f2"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e6da5" w:themeColor="accent1" w:themeTint="80" w:themeShade="95"/>
      </w:rPr>
      <w:pPr>
        <w:pBdr/>
        <w:spacing/>
        <w:ind/>
      </w:pPr>
      <w:tblPr>
        <w:tblBorders/>
      </w:tblPr>
      <w:tcPr>
        <w:tcBorders/>
      </w:tcPr>
    </w:tblStylePr>
    <w:tblStylePr w:type="firstRow">
      <w:rPr>
        <w:b/>
        <w:color w:val="3e6da5" w:themeColor="accent1" w:themeTint="80" w:themeShade="95"/>
      </w:rPr>
      <w:pPr>
        <w:pBdr/>
        <w:spacing/>
        <w:ind/>
      </w:pPr>
      <w:tblPr>
        <w:tblBorders/>
      </w:tblPr>
      <w:tcPr>
        <w:tcBorders>
          <w:bottom w:val="single" w:color="000000" w:themeColor="accent1" w:themeTint="80" w:sz="12" w:space="0"/>
        </w:tcBorders>
      </w:tcPr>
    </w:tblStylePr>
    <w:tblStylePr w:type="lastCol">
      <w:rPr>
        <w:b/>
        <w:color w:val="3e6da5" w:themeColor="accent1" w:themeTint="80" w:themeShade="95"/>
      </w:rPr>
      <w:pPr>
        <w:pBdr/>
        <w:spacing/>
        <w:ind/>
      </w:pPr>
      <w:tblPr>
        <w:tblBorders/>
      </w:tblPr>
      <w:tcPr>
        <w:tcBorders/>
      </w:tcPr>
    </w:tblStylePr>
    <w:tblStylePr w:type="lastRow">
      <w:rPr>
        <w:b/>
        <w:color w:val="3e6da5"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56">
    <w:name w:val="Grid Table 6 Colorful - Accent 2"/>
    <w:basedOn w:val="743"/>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3dddc" w:themeFill="accent2" w:themeFillTint="32"/>
        <w:tcBorders/>
      </w:tcPr>
    </w:tblStylePr>
    <w:tblStylePr w:type="band1Vert">
      <w:pPr>
        <w:pBdr/>
        <w:spacing/>
        <w:ind/>
      </w:pPr>
      <w:tblPr>
        <w:tblBorders/>
      </w:tblPr>
      <w:tcPr>
        <w:shd w:val="clear" w:color="ffffff" w:themeColor="accent2" w:themeTint="32" w:fill="f3dddc"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f3b38" w:themeColor="accent2" w:themeTint="97" w:themeShade="95"/>
      </w:rPr>
      <w:pPr>
        <w:pBdr/>
        <w:spacing/>
        <w:ind/>
      </w:pPr>
      <w:tblPr>
        <w:tblBorders/>
      </w:tblPr>
      <w:tcPr>
        <w:tcBorders/>
      </w:tcPr>
    </w:tblStylePr>
    <w:tblStylePr w:type="firstRow">
      <w:rPr>
        <w:b/>
        <w:color w:val="9f3b38" w:themeColor="accent2" w:themeTint="97" w:themeShade="95"/>
      </w:rPr>
      <w:pPr>
        <w:pBdr/>
        <w:spacing/>
        <w:ind/>
      </w:pPr>
      <w:tblPr>
        <w:tblBorders/>
      </w:tblPr>
      <w:tcPr>
        <w:tcBorders>
          <w:bottom w:val="single" w:color="000000" w:themeColor="accent2" w:themeTint="97" w:sz="12" w:space="0"/>
        </w:tcBorders>
      </w:tcPr>
    </w:tblStylePr>
    <w:tblStylePr w:type="lastCol">
      <w:rPr>
        <w:b/>
        <w:color w:val="9f3b38" w:themeColor="accent2" w:themeTint="97" w:themeShade="95"/>
      </w:rPr>
      <w:pPr>
        <w:pBdr/>
        <w:spacing/>
        <w:ind/>
      </w:pPr>
      <w:tblPr>
        <w:tblBorders/>
      </w:tblPr>
      <w:tcPr>
        <w:tcBorders/>
      </w:tcPr>
    </w:tblStylePr>
    <w:tblStylePr w:type="lastRow">
      <w:rPr>
        <w:b/>
        <w:color w:val="9f3b38"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57">
    <w:name w:val="Grid Table 6 Colorful - Accent 3"/>
    <w:basedOn w:val="743"/>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ebf1dd" w:themeFill="accent3" w:themeFillTint="34"/>
        <w:tcBorders/>
      </w:tcPr>
    </w:tblStylePr>
    <w:tblStylePr w:type="band1Vert">
      <w:pPr>
        <w:pBdr/>
        <w:spacing/>
        <w:ind/>
      </w:pPr>
      <w:tblPr>
        <w:tblBorders/>
      </w:tblPr>
      <w:tcPr>
        <w:shd w:val="clear" w:color="ffffff" w:themeColor="accent3" w:themeTint="34" w:fill="ebf1dd"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d732f" w:themeColor="accent3" w:themeTint="FE" w:themeShade="95"/>
      </w:rPr>
      <w:pPr>
        <w:pBdr/>
        <w:spacing/>
        <w:ind/>
      </w:pPr>
      <w:tblPr>
        <w:tblBorders/>
      </w:tblPr>
      <w:tcPr>
        <w:tcBorders/>
      </w:tcPr>
    </w:tblStylePr>
    <w:tblStylePr w:type="firstRow">
      <w:rPr>
        <w:b/>
        <w:color w:val="5d732f" w:themeColor="accent3" w:themeTint="FE" w:themeShade="95"/>
      </w:rPr>
      <w:pPr>
        <w:pBdr/>
        <w:spacing/>
        <w:ind/>
      </w:pPr>
      <w:tblPr>
        <w:tblBorders/>
      </w:tblPr>
      <w:tcPr>
        <w:tcBorders>
          <w:bottom w:val="single" w:color="000000" w:themeColor="accent3" w:themeTint="FE" w:sz="12" w:space="0"/>
        </w:tcBorders>
      </w:tcPr>
    </w:tblStylePr>
    <w:tblStylePr w:type="lastCol">
      <w:rPr>
        <w:b/>
        <w:color w:val="5d732f" w:themeColor="accent3" w:themeTint="FE" w:themeShade="95"/>
      </w:rPr>
      <w:pPr>
        <w:pBdr/>
        <w:spacing/>
        <w:ind/>
      </w:pPr>
      <w:tblPr>
        <w:tblBorders/>
      </w:tblPr>
      <w:tcPr>
        <w:tcBorders/>
      </w:tcPr>
    </w:tblStylePr>
    <w:tblStylePr w:type="lastRow">
      <w:rPr>
        <w:b/>
        <w:color w:val="5d732f"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58">
    <w:name w:val="Grid Table 6 Colorful - Accent 4"/>
    <w:basedOn w:val="743"/>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e5dfec" w:themeFill="accent4" w:themeFillTint="34"/>
        <w:tcBorders/>
      </w:tcPr>
    </w:tblStylePr>
    <w:tblStylePr w:type="band1Vert">
      <w:pPr>
        <w:pBdr/>
        <w:spacing/>
        <w:ind/>
      </w:pPr>
      <w:tblPr>
        <w:tblBorders/>
      </w:tblPr>
      <w:tcPr>
        <w:shd w:val="clear" w:color="ffffff" w:themeColor="accent4" w:themeTint="34" w:fill="e5dfec"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74f84" w:themeColor="accent4" w:themeTint="9A" w:themeShade="95"/>
      </w:rPr>
      <w:pPr>
        <w:pBdr/>
        <w:spacing/>
        <w:ind/>
      </w:pPr>
      <w:tblPr>
        <w:tblBorders/>
      </w:tblPr>
      <w:tcPr>
        <w:tcBorders/>
      </w:tcPr>
    </w:tblStylePr>
    <w:tblStylePr w:type="firstRow">
      <w:rPr>
        <w:b/>
        <w:color w:val="674f84" w:themeColor="accent4" w:themeTint="9A" w:themeShade="95"/>
      </w:rPr>
      <w:pPr>
        <w:pBdr/>
        <w:spacing/>
        <w:ind/>
      </w:pPr>
      <w:tblPr>
        <w:tblBorders/>
      </w:tblPr>
      <w:tcPr>
        <w:tcBorders>
          <w:bottom w:val="single" w:color="000000" w:themeColor="accent4" w:themeTint="9A" w:sz="12" w:space="0"/>
        </w:tcBorders>
      </w:tcPr>
    </w:tblStylePr>
    <w:tblStylePr w:type="lastCol">
      <w:rPr>
        <w:b/>
        <w:color w:val="674f84" w:themeColor="accent4" w:themeTint="9A" w:themeShade="95"/>
      </w:rPr>
      <w:pPr>
        <w:pBdr/>
        <w:spacing/>
        <w:ind/>
      </w:pPr>
      <w:tblPr>
        <w:tblBorders/>
      </w:tblPr>
      <w:tcPr>
        <w:tcBorders/>
      </w:tcPr>
    </w:tblStylePr>
    <w:tblStylePr w:type="lastRow">
      <w:rPr>
        <w:b/>
        <w:color w:val="674f84"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59">
    <w:name w:val="Grid Table 6 Colorful - Accent 5"/>
    <w:basedOn w:val="743"/>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daeef3" w:themeFill="accent5" w:themeFillTint="34"/>
        <w:tcBorders/>
      </w:tcPr>
    </w:tblStylePr>
    <w:tblStylePr w:type="band1Vert">
      <w:pPr>
        <w:pBdr/>
        <w:spacing/>
        <w:ind/>
      </w:pPr>
      <w:tblPr>
        <w:tblBorders/>
      </w:tblPr>
      <w:tcPr>
        <w:shd w:val="clear" w:color="ffffff" w:themeColor="accent5" w:themeTint="34" w:fill="daeef3"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66879" w:themeColor="accent5" w:themeShade="95"/>
      </w:rPr>
      <w:pPr>
        <w:pBdr/>
        <w:spacing/>
        <w:ind/>
      </w:pPr>
      <w:tblPr>
        <w:tblBorders/>
      </w:tblPr>
      <w:tcPr>
        <w:tcBorders/>
      </w:tcPr>
    </w:tblStylePr>
    <w:tblStylePr w:type="firstRow">
      <w:rPr>
        <w:b/>
        <w:color w:val="266879" w:themeColor="accent5" w:themeShade="95"/>
      </w:rPr>
      <w:pPr>
        <w:pBdr/>
        <w:spacing/>
        <w:ind/>
      </w:pPr>
      <w:tblPr>
        <w:tblBorders/>
      </w:tblPr>
      <w:tcPr>
        <w:tcBorders>
          <w:bottom w:val="single" w:color="000000" w:themeColor="accent5" w:sz="12" w:space="0"/>
        </w:tcBorders>
      </w:tcPr>
    </w:tblStylePr>
    <w:tblStylePr w:type="lastCol">
      <w:rPr>
        <w:b/>
        <w:color w:val="266879" w:themeColor="accent5" w:themeShade="95"/>
      </w:rPr>
      <w:pPr>
        <w:pBdr/>
        <w:spacing/>
        <w:ind/>
      </w:pPr>
      <w:tblPr>
        <w:tblBorders/>
      </w:tblPr>
      <w:tcPr>
        <w:tcBorders/>
      </w:tcPr>
    </w:tblStylePr>
    <w:tblStylePr w:type="lastRow">
      <w:rPr>
        <w:b/>
        <w:color w:val="266879"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60">
    <w:name w:val="Grid Table 6 Colorful - Accent 6"/>
    <w:basedOn w:val="743"/>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fdead9" w:themeFill="accent6" w:themeFillTint="34"/>
        <w:tcBorders/>
      </w:tcPr>
    </w:tblStylePr>
    <w:tblStylePr w:type="band1Vert">
      <w:pPr>
        <w:pBdr/>
        <w:spacing/>
        <w:ind/>
      </w:pPr>
      <w:tblPr>
        <w:tblBorders/>
      </w:tblPr>
      <w:tcPr>
        <w:shd w:val="clear" w:color="ffffff" w:themeColor="accent6" w:themeTint="34" w:fill="fdead9"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66879" w:themeColor="accent5" w:themeShade="95"/>
      </w:rPr>
      <w:pPr>
        <w:pBdr/>
        <w:spacing/>
        <w:ind/>
      </w:pPr>
      <w:tblPr>
        <w:tblBorders/>
      </w:tblPr>
      <w:tcPr>
        <w:tcBorders/>
      </w:tcPr>
    </w:tblStylePr>
    <w:tblStylePr w:type="firstRow">
      <w:rPr>
        <w:b/>
        <w:color w:val="266879" w:themeColor="accent5" w:themeShade="95"/>
      </w:rPr>
      <w:pPr>
        <w:pBdr/>
        <w:spacing/>
        <w:ind/>
      </w:pPr>
      <w:tblPr>
        <w:tblBorders/>
      </w:tblPr>
      <w:tcPr>
        <w:tcBorders>
          <w:bottom w:val="single" w:color="000000" w:themeColor="accent6" w:sz="12" w:space="0"/>
        </w:tcBorders>
      </w:tcPr>
    </w:tblStylePr>
    <w:tblStylePr w:type="lastCol">
      <w:rPr>
        <w:b/>
        <w:color w:val="266879" w:themeColor="accent5" w:themeShade="95"/>
      </w:rPr>
      <w:pPr>
        <w:pBdr/>
        <w:spacing/>
        <w:ind/>
      </w:pPr>
      <w:tblPr>
        <w:tblBorders/>
      </w:tblPr>
      <w:tcPr>
        <w:tcBorders/>
      </w:tcPr>
    </w:tblStylePr>
    <w:tblStylePr w:type="lastRow">
      <w:rPr>
        <w:b/>
        <w:color w:val="266879"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61">
    <w:name w:val="Grid Table 7 Colorful"/>
    <w:basedOn w:val="743"/>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color="ffffff"/>
        <w:tcBorders>
          <w:top w:val="none"/>
          <w:left w:val="none"/>
          <w:bottom w:val="none"/>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left w:val="none"/>
          <w:bottom w:val="single" w:color="000000" w:themeColor="text1" w:themeTint="80" w:sz="4" w:space="0"/>
          <w:right w:val="none"/>
        </w:tcBorders>
      </w:tcPr>
    </w:tblStylePr>
    <w:tblStylePr w:type="lastCol">
      <w:rPr>
        <w:rFonts w:ascii="Arial" w:hAnsi="Arial"/>
        <w:i/>
        <w:color w:val="4a4a4a" w:themeColor="text1" w:themeTint="80" w:themeShade="95"/>
        <w:sz w:val="22"/>
      </w:rPr>
      <w:pPr>
        <w:pBdr/>
        <w:spacing/>
        <w:ind/>
      </w:pPr>
      <w:tblPr>
        <w:tblBorders/>
      </w:tblPr>
      <w:tcPr>
        <w:shd w:color="ffffff"/>
        <w:tcBorders>
          <w:top w:val="none"/>
          <w:left w:val="single" w:color="000000" w:themeColor="text1" w:themeTint="80" w:sz="4" w:space="0"/>
          <w:bottom w:val="none"/>
          <w:right w:val="none"/>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2">
    <w:name w:val="Grid Table 7 Colorful - Accent 1"/>
    <w:basedOn w:val="743"/>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3e6da5" w:themeColor="accent1" w:themeTint="80" w:themeShade="95"/>
        <w:sz w:val="22"/>
      </w:rPr>
      <w:pPr>
        <w:pBdr/>
        <w:spacing/>
        <w:ind/>
      </w:pPr>
      <w:tblPr>
        <w:tblBorders/>
      </w:tblPr>
      <w:tcPr>
        <w:shd w:val="clear" w:color="ffffff" w:themeColor="accent1" w:themeTint="34" w:fill="dbe5f2" w:themeFill="accent1" w:themeFillTint="34"/>
        <w:tcBorders/>
      </w:tcPr>
    </w:tblStylePr>
    <w:tblStylePr w:type="band1Vert">
      <w:pPr>
        <w:pBdr/>
        <w:spacing/>
        <w:ind/>
      </w:pPr>
      <w:tblPr>
        <w:tblBorders/>
      </w:tblPr>
      <w:tcPr>
        <w:shd w:val="clear" w:color="ffffff" w:themeColor="accent1" w:themeTint="34" w:fill="dbe5f2" w:themeFill="accent1" w:themeFillTint="34"/>
        <w:tcBorders/>
      </w:tcPr>
    </w:tblStylePr>
    <w:tblStylePr w:type="band2Horz">
      <w:rPr>
        <w:rFonts w:ascii="Arial" w:hAnsi="Arial"/>
        <w:color w:val="3e6da5"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e6da5" w:themeColor="accent1" w:themeTint="80" w:themeShade="95"/>
        <w:sz w:val="22"/>
      </w:rPr>
      <w:pPr>
        <w:pBdr/>
        <w:spacing/>
        <w:ind/>
        <w:jc w:val="right"/>
      </w:pPr>
      <w:tblPr>
        <w:tblBorders/>
      </w:tblPr>
      <w:tcPr>
        <w:shd w:color="ffffff"/>
        <w:tcBorders>
          <w:top w:val="none"/>
          <w:left w:val="none"/>
          <w:bottom w:val="none"/>
          <w:right w:val="single" w:color="000000" w:themeColor="accent1" w:themeTint="80" w:sz="4" w:space="0"/>
        </w:tcBorders>
      </w:tcPr>
    </w:tblStylePr>
    <w:tblStylePr w:type="firstRow">
      <w:rPr>
        <w:rFonts w:ascii="Arial" w:hAnsi="Arial"/>
        <w:b/>
        <w:color w:val="3e6da5" w:themeColor="accent1" w:themeTint="80" w:themeShade="95"/>
        <w:sz w:val="22"/>
      </w:rPr>
      <w:pPr>
        <w:pBdr/>
        <w:spacing/>
        <w:ind/>
      </w:pPr>
      <w:tblPr>
        <w:tblBorders/>
      </w:tblPr>
      <w:tcPr>
        <w:shd w:val="clear" w:color="ffffff" w:themeColor="light1" w:fill="ffffff" w:themeFill="light1"/>
        <w:tcBorders>
          <w:top w:val="none"/>
          <w:left w:val="none"/>
          <w:bottom w:val="single" w:color="000000" w:themeColor="accent1" w:themeTint="80" w:sz="4" w:space="0"/>
          <w:right w:val="none"/>
        </w:tcBorders>
      </w:tcPr>
    </w:tblStylePr>
    <w:tblStylePr w:type="lastCol">
      <w:rPr>
        <w:rFonts w:ascii="Arial" w:hAnsi="Arial"/>
        <w:i/>
        <w:color w:val="3e6da5" w:themeColor="accent1" w:themeTint="80" w:themeShade="95"/>
        <w:sz w:val="22"/>
      </w:rPr>
      <w:pPr>
        <w:pBdr/>
        <w:spacing/>
        <w:ind/>
      </w:pPr>
      <w:tblPr>
        <w:tblBorders/>
      </w:tblPr>
      <w:tcPr>
        <w:shd w:color="ffffff"/>
        <w:tcBorders>
          <w:top w:val="none"/>
          <w:left w:val="single" w:color="000000" w:themeColor="accent1" w:themeTint="80" w:sz="4" w:space="0"/>
          <w:bottom w:val="none"/>
          <w:right w:val="none"/>
        </w:tcBorders>
      </w:tcPr>
    </w:tblStylePr>
    <w:tblStylePr w:type="lastRow">
      <w:rPr>
        <w:rFonts w:ascii="Arial" w:hAnsi="Arial"/>
        <w:b/>
        <w:color w:val="3e6da5"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3">
    <w:name w:val="Grid Table 7 Colorful - Accent 2"/>
    <w:basedOn w:val="743"/>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9f3b38" w:themeColor="accent2" w:themeTint="97" w:themeShade="95"/>
        <w:sz w:val="22"/>
      </w:rPr>
      <w:pPr>
        <w:pBdr/>
        <w:spacing/>
        <w:ind/>
      </w:pPr>
      <w:tblPr>
        <w:tblBorders/>
      </w:tblPr>
      <w:tcPr>
        <w:shd w:val="clear" w:color="ffffff" w:themeColor="accent2" w:themeTint="32" w:fill="f3dddc" w:themeFill="accent2" w:themeFillTint="32"/>
        <w:tcBorders/>
      </w:tcPr>
    </w:tblStylePr>
    <w:tblStylePr w:type="band1Vert">
      <w:pPr>
        <w:pBdr/>
        <w:spacing/>
        <w:ind/>
      </w:pPr>
      <w:tblPr>
        <w:tblBorders/>
      </w:tblPr>
      <w:tcPr>
        <w:shd w:val="clear" w:color="ffffff" w:themeColor="accent2" w:themeTint="32" w:fill="f3dddc" w:themeFill="accent2" w:themeFillTint="32"/>
        <w:tcBorders/>
      </w:tcPr>
    </w:tblStylePr>
    <w:tblStylePr w:type="band2Horz">
      <w:rPr>
        <w:rFonts w:ascii="Arial" w:hAnsi="Arial"/>
        <w:color w:val="9f3b38"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f3b38" w:themeColor="accent2" w:themeTint="97" w:themeShade="95"/>
        <w:sz w:val="22"/>
      </w:rPr>
      <w:pPr>
        <w:pBdr/>
        <w:spacing/>
        <w:ind/>
        <w:jc w:val="right"/>
      </w:pPr>
      <w:tblPr>
        <w:tblBorders/>
      </w:tblPr>
      <w:tcPr>
        <w:shd w:color="ffffff"/>
        <w:tcBorders>
          <w:top w:val="none"/>
          <w:left w:val="none"/>
          <w:bottom w:val="none"/>
          <w:right w:val="single" w:color="000000" w:themeColor="accent2" w:themeTint="97" w:sz="4" w:space="0"/>
        </w:tcBorders>
      </w:tcPr>
    </w:tblStylePr>
    <w:tblStylePr w:type="firstRow">
      <w:rPr>
        <w:rFonts w:ascii="Arial" w:hAnsi="Arial"/>
        <w:b/>
        <w:color w:val="9f3b38" w:themeColor="accent2" w:themeTint="97" w:themeShade="95"/>
        <w:sz w:val="22"/>
      </w:rPr>
      <w:pPr>
        <w:pBdr/>
        <w:spacing/>
        <w:ind/>
      </w:pPr>
      <w:tblPr>
        <w:tblBorders/>
      </w:tblPr>
      <w:tcPr>
        <w:shd w:val="clear" w:color="ffffff" w:themeColor="light1" w:fill="ffffff" w:themeFill="light1"/>
        <w:tcBorders>
          <w:top w:val="none"/>
          <w:left w:val="none"/>
          <w:bottom w:val="single" w:color="000000" w:themeColor="accent2" w:themeTint="97" w:sz="4" w:space="0"/>
          <w:right w:val="none"/>
        </w:tcBorders>
      </w:tcPr>
    </w:tblStylePr>
    <w:tblStylePr w:type="lastCol">
      <w:rPr>
        <w:rFonts w:ascii="Arial" w:hAnsi="Arial"/>
        <w:i/>
        <w:color w:val="9f3b38" w:themeColor="accent2" w:themeTint="97" w:themeShade="95"/>
        <w:sz w:val="22"/>
      </w:rPr>
      <w:pPr>
        <w:pBdr/>
        <w:spacing/>
        <w:ind/>
      </w:pPr>
      <w:tblPr>
        <w:tblBorders/>
      </w:tblPr>
      <w:tcPr>
        <w:shd w:color="ffffff"/>
        <w:tcBorders>
          <w:top w:val="none"/>
          <w:left w:val="single" w:color="000000" w:themeColor="accent2" w:themeTint="97" w:sz="4" w:space="0"/>
          <w:bottom w:val="none"/>
          <w:right w:val="none"/>
        </w:tcBorders>
      </w:tcPr>
    </w:tblStylePr>
    <w:tblStylePr w:type="lastRow">
      <w:rPr>
        <w:rFonts w:ascii="Arial" w:hAnsi="Arial"/>
        <w:b/>
        <w:color w:val="9f3b38"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4">
    <w:name w:val="Grid Table 7 Colorful - Accent 3"/>
    <w:basedOn w:val="743"/>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5d732f" w:themeColor="accent3" w:themeTint="FE" w:themeShade="95"/>
        <w:sz w:val="22"/>
      </w:rPr>
      <w:pPr>
        <w:pBdr/>
        <w:spacing/>
        <w:ind/>
      </w:pPr>
      <w:tblPr>
        <w:tblBorders/>
      </w:tblPr>
      <w:tcPr>
        <w:shd w:val="clear" w:color="ffffff" w:themeColor="accent3" w:themeTint="34" w:fill="ebf1dd" w:themeFill="accent3" w:themeFillTint="34"/>
        <w:tcBorders/>
      </w:tcPr>
    </w:tblStylePr>
    <w:tblStylePr w:type="band1Vert">
      <w:pPr>
        <w:pBdr/>
        <w:spacing/>
        <w:ind/>
      </w:pPr>
      <w:tblPr>
        <w:tblBorders/>
      </w:tblPr>
      <w:tcPr>
        <w:shd w:val="clear" w:color="ffffff" w:themeColor="accent3" w:themeTint="34" w:fill="ebf1dd" w:themeFill="accent3" w:themeFillTint="34"/>
        <w:tcBorders/>
      </w:tcPr>
    </w:tblStylePr>
    <w:tblStylePr w:type="band2Horz">
      <w:rPr>
        <w:rFonts w:ascii="Arial" w:hAnsi="Arial"/>
        <w:color w:val="5d732f"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d732f" w:themeColor="accent3" w:themeTint="FE" w:themeShade="95"/>
        <w:sz w:val="22"/>
      </w:rPr>
      <w:pPr>
        <w:pBdr/>
        <w:spacing/>
        <w:ind/>
        <w:jc w:val="right"/>
      </w:pPr>
      <w:tblPr>
        <w:tblBorders/>
      </w:tblPr>
      <w:tcPr>
        <w:shd w:color="ffffff"/>
        <w:tcBorders>
          <w:top w:val="none"/>
          <w:left w:val="none"/>
          <w:bottom w:val="none"/>
          <w:right w:val="single" w:color="000000" w:themeColor="accent3" w:themeTint="FE" w:sz="4" w:space="0"/>
        </w:tcBorders>
      </w:tcPr>
    </w:tblStylePr>
    <w:tblStylePr w:type="firstRow">
      <w:rPr>
        <w:rFonts w:ascii="Arial" w:hAnsi="Arial"/>
        <w:b/>
        <w:color w:val="5d732f" w:themeColor="accent3" w:themeTint="FE" w:themeShade="95"/>
        <w:sz w:val="22"/>
      </w:rPr>
      <w:pPr>
        <w:pBdr/>
        <w:spacing/>
        <w:ind/>
      </w:pPr>
      <w:tblPr>
        <w:tblBorders/>
      </w:tblPr>
      <w:tcPr>
        <w:shd w:val="clear" w:color="ffffff" w:themeColor="light1" w:fill="ffffff" w:themeFill="light1"/>
        <w:tcBorders>
          <w:top w:val="none"/>
          <w:left w:val="none"/>
          <w:bottom w:val="single" w:color="000000" w:themeColor="accent3" w:themeTint="FE" w:sz="4" w:space="0"/>
          <w:right w:val="none"/>
        </w:tcBorders>
      </w:tcPr>
    </w:tblStylePr>
    <w:tblStylePr w:type="lastCol">
      <w:rPr>
        <w:rFonts w:ascii="Arial" w:hAnsi="Arial"/>
        <w:i/>
        <w:color w:val="5d732f" w:themeColor="accent3" w:themeTint="FE" w:themeShade="95"/>
        <w:sz w:val="22"/>
      </w:rPr>
      <w:pPr>
        <w:pBdr/>
        <w:spacing/>
        <w:ind/>
      </w:pPr>
      <w:tblPr>
        <w:tblBorders/>
      </w:tblPr>
      <w:tcPr>
        <w:shd w:color="ffffff"/>
        <w:tcBorders>
          <w:top w:val="none"/>
          <w:left w:val="single" w:color="000000" w:themeColor="accent3" w:themeTint="FE" w:sz="4" w:space="0"/>
          <w:bottom w:val="none"/>
          <w:right w:val="none"/>
        </w:tcBorders>
      </w:tcPr>
    </w:tblStylePr>
    <w:tblStylePr w:type="lastRow">
      <w:rPr>
        <w:rFonts w:ascii="Arial" w:hAnsi="Arial"/>
        <w:b/>
        <w:color w:val="5d732f"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5">
    <w:name w:val="Grid Table 7 Colorful - Accent 4"/>
    <w:basedOn w:val="743"/>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674f84" w:themeColor="accent4" w:themeTint="9A" w:themeShade="95"/>
        <w:sz w:val="22"/>
      </w:rPr>
      <w:pPr>
        <w:pBdr/>
        <w:spacing/>
        <w:ind/>
      </w:pPr>
      <w:tblPr>
        <w:tblBorders/>
      </w:tblPr>
      <w:tcPr>
        <w:shd w:val="clear" w:color="ffffff" w:themeColor="accent4" w:themeTint="34" w:fill="e5dfec" w:themeFill="accent4" w:themeFillTint="34"/>
        <w:tcBorders/>
      </w:tcPr>
    </w:tblStylePr>
    <w:tblStylePr w:type="band1Vert">
      <w:pPr>
        <w:pBdr/>
        <w:spacing/>
        <w:ind/>
      </w:pPr>
      <w:tblPr>
        <w:tblBorders/>
      </w:tblPr>
      <w:tcPr>
        <w:shd w:val="clear" w:color="ffffff" w:themeColor="accent4" w:themeTint="34" w:fill="e5dfec" w:themeFill="accent4" w:themeFillTint="34"/>
        <w:tcBorders/>
      </w:tcPr>
    </w:tblStylePr>
    <w:tblStylePr w:type="band2Horz">
      <w:rPr>
        <w:rFonts w:ascii="Arial" w:hAnsi="Arial"/>
        <w:color w:val="674f84"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74f84" w:themeColor="accent4" w:themeTint="9A" w:themeShade="95"/>
        <w:sz w:val="22"/>
      </w:rPr>
      <w:pPr>
        <w:pBdr/>
        <w:spacing/>
        <w:ind/>
        <w:jc w:val="right"/>
      </w:pPr>
      <w:tblPr>
        <w:tblBorders/>
      </w:tblPr>
      <w:tcPr>
        <w:shd w:color="ffffff"/>
        <w:tcBorders>
          <w:top w:val="none"/>
          <w:left w:val="none"/>
          <w:bottom w:val="none"/>
          <w:right w:val="single" w:color="000000" w:themeColor="accent4" w:themeTint="9A" w:sz="4" w:space="0"/>
        </w:tcBorders>
      </w:tcPr>
    </w:tblStylePr>
    <w:tblStylePr w:type="firstRow">
      <w:rPr>
        <w:rFonts w:ascii="Arial" w:hAnsi="Arial"/>
        <w:b/>
        <w:color w:val="674f84" w:themeColor="accent4" w:themeTint="9A" w:themeShade="95"/>
        <w:sz w:val="22"/>
      </w:rPr>
      <w:pPr>
        <w:pBdr/>
        <w:spacing/>
        <w:ind/>
      </w:pPr>
      <w:tblPr>
        <w:tblBorders/>
      </w:tblPr>
      <w:tcPr>
        <w:shd w:val="clear" w:color="ffffff" w:themeColor="light1" w:fill="ffffff" w:themeFill="light1"/>
        <w:tcBorders>
          <w:top w:val="none"/>
          <w:left w:val="none"/>
          <w:bottom w:val="single" w:color="000000" w:themeColor="accent4" w:themeTint="9A" w:sz="4" w:space="0"/>
          <w:right w:val="none"/>
        </w:tcBorders>
      </w:tcPr>
    </w:tblStylePr>
    <w:tblStylePr w:type="lastCol">
      <w:rPr>
        <w:rFonts w:ascii="Arial" w:hAnsi="Arial"/>
        <w:i/>
        <w:color w:val="674f84" w:themeColor="accent4" w:themeTint="9A" w:themeShade="95"/>
        <w:sz w:val="22"/>
      </w:rPr>
      <w:pPr>
        <w:pBdr/>
        <w:spacing/>
        <w:ind/>
      </w:pPr>
      <w:tblPr>
        <w:tblBorders/>
      </w:tblPr>
      <w:tcPr>
        <w:shd w:color="ffffff"/>
        <w:tcBorders>
          <w:top w:val="none"/>
          <w:left w:val="single" w:color="000000" w:themeColor="accent4" w:themeTint="9A" w:sz="4" w:space="0"/>
          <w:bottom w:val="none"/>
          <w:right w:val="none"/>
        </w:tcBorders>
      </w:tcPr>
    </w:tblStylePr>
    <w:tblStylePr w:type="lastRow">
      <w:rPr>
        <w:rFonts w:ascii="Arial" w:hAnsi="Arial"/>
        <w:b/>
        <w:color w:val="674f84"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6">
    <w:name w:val="Grid Table 7 Colorful - Accent 5"/>
    <w:basedOn w:val="743"/>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266879" w:themeColor="accent5" w:themeShade="95"/>
        <w:sz w:val="22"/>
      </w:rPr>
      <w:pPr>
        <w:pBdr/>
        <w:spacing/>
        <w:ind/>
      </w:pPr>
      <w:tblPr>
        <w:tblBorders/>
      </w:tblPr>
      <w:tcPr>
        <w:shd w:val="clear" w:color="ffffff" w:themeColor="accent5" w:themeTint="34" w:fill="daeef3" w:themeFill="accent5" w:themeFillTint="34"/>
        <w:tcBorders/>
      </w:tcPr>
    </w:tblStylePr>
    <w:tblStylePr w:type="band1Vert">
      <w:pPr>
        <w:pBdr/>
        <w:spacing/>
        <w:ind/>
      </w:pPr>
      <w:tblPr>
        <w:tblBorders/>
      </w:tblPr>
      <w:tcPr>
        <w:shd w:val="clear" w:color="ffffff" w:themeColor="accent5" w:themeTint="34" w:fill="daeef3" w:themeFill="accent5" w:themeFillTint="34"/>
        <w:tcBorders/>
      </w:tcPr>
    </w:tblStylePr>
    <w:tblStylePr w:type="band2Horz">
      <w:rPr>
        <w:rFonts w:ascii="Arial" w:hAnsi="Arial"/>
        <w:color w:val="266879"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66879" w:themeColor="accent5" w:themeShade="95"/>
        <w:sz w:val="22"/>
      </w:rPr>
      <w:pPr>
        <w:pBdr/>
        <w:spacing/>
        <w:ind/>
        <w:jc w:val="right"/>
      </w:pPr>
      <w:tblPr>
        <w:tblBorders/>
      </w:tblPr>
      <w:tcPr>
        <w:shd w:color="ffffff"/>
        <w:tcBorders>
          <w:top w:val="none"/>
          <w:left w:val="none"/>
          <w:bottom w:val="none"/>
          <w:right w:val="single" w:color="000000" w:themeColor="accent5" w:themeTint="90" w:sz="4" w:space="0"/>
        </w:tcBorders>
      </w:tcPr>
    </w:tblStylePr>
    <w:tblStylePr w:type="firstRow">
      <w:rPr>
        <w:rFonts w:ascii="Arial" w:hAnsi="Arial"/>
        <w:b/>
        <w:color w:val="266879" w:themeColor="accent5" w:themeShade="95"/>
        <w:sz w:val="22"/>
      </w:rPr>
      <w:pPr>
        <w:pBdr/>
        <w:spacing/>
        <w:ind/>
      </w:pPr>
      <w:tblPr>
        <w:tblBorders/>
      </w:tblPr>
      <w:tcPr>
        <w:shd w:val="clear" w:color="ffffff" w:themeColor="light1" w:fill="ffffff" w:themeFill="light1"/>
        <w:tcBorders>
          <w:top w:val="none"/>
          <w:left w:val="none"/>
          <w:bottom w:val="single" w:color="000000" w:themeColor="accent5" w:themeTint="90" w:sz="4" w:space="0"/>
          <w:right w:val="none"/>
        </w:tcBorders>
      </w:tcPr>
    </w:tblStylePr>
    <w:tblStylePr w:type="lastCol">
      <w:rPr>
        <w:rFonts w:ascii="Arial" w:hAnsi="Arial"/>
        <w:i/>
        <w:color w:val="266879" w:themeColor="accent5" w:themeShade="95"/>
        <w:sz w:val="22"/>
      </w:rPr>
      <w:pPr>
        <w:pBdr/>
        <w:spacing/>
        <w:ind/>
      </w:pPr>
      <w:tblPr>
        <w:tblBorders/>
      </w:tblPr>
      <w:tcPr>
        <w:shd w:color="ffffff"/>
        <w:tcBorders>
          <w:top w:val="none"/>
          <w:left w:val="single" w:color="000000" w:themeColor="accent5" w:themeTint="90" w:sz="4" w:space="0"/>
          <w:bottom w:val="none"/>
          <w:right w:val="none"/>
        </w:tcBorders>
      </w:tcPr>
    </w:tblStylePr>
    <w:tblStylePr w:type="lastRow">
      <w:rPr>
        <w:rFonts w:ascii="Arial" w:hAnsi="Arial"/>
        <w:b/>
        <w:color w:val="266879"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7">
    <w:name w:val="Grid Table 7 Colorful - Accent 6"/>
    <w:basedOn w:val="743"/>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b25408" w:themeColor="accent6" w:themeShade="95"/>
        <w:sz w:val="22"/>
      </w:rPr>
      <w:pPr>
        <w:pBdr/>
        <w:spacing/>
        <w:ind/>
      </w:pPr>
      <w:tblPr>
        <w:tblBorders/>
      </w:tblPr>
      <w:tcPr>
        <w:shd w:val="clear" w:color="ffffff" w:themeColor="accent6" w:themeTint="34" w:fill="fdead9" w:themeFill="accent6" w:themeFillTint="34"/>
        <w:tcBorders/>
      </w:tcPr>
    </w:tblStylePr>
    <w:tblStylePr w:type="band1Vert">
      <w:pPr>
        <w:pBdr/>
        <w:spacing/>
        <w:ind/>
      </w:pPr>
      <w:tblPr>
        <w:tblBorders/>
      </w:tblPr>
      <w:tcPr>
        <w:shd w:val="clear" w:color="ffffff" w:themeColor="accent6" w:themeTint="34" w:fill="fdead9" w:themeFill="accent6" w:themeFillTint="34"/>
        <w:tcBorders/>
      </w:tcPr>
    </w:tblStylePr>
    <w:tblStylePr w:type="band2Horz">
      <w:rPr>
        <w:rFonts w:ascii="Arial" w:hAnsi="Arial"/>
        <w:color w:val="b25408"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b25408" w:themeColor="accent6" w:themeShade="95"/>
        <w:sz w:val="22"/>
      </w:rPr>
      <w:pPr>
        <w:pBdr/>
        <w:spacing/>
        <w:ind/>
        <w:jc w:val="right"/>
      </w:pPr>
      <w:tblPr>
        <w:tblBorders/>
      </w:tblPr>
      <w:tcPr>
        <w:shd w:color="ffffff"/>
        <w:tcBorders>
          <w:top w:val="none"/>
          <w:left w:val="none"/>
          <w:bottom w:val="none"/>
          <w:right w:val="single" w:color="000000" w:themeColor="accent6" w:themeTint="90" w:sz="4" w:space="0"/>
        </w:tcBorders>
      </w:tcPr>
    </w:tblStylePr>
    <w:tblStylePr w:type="firstRow">
      <w:rPr>
        <w:rFonts w:ascii="Arial" w:hAnsi="Arial"/>
        <w:b/>
        <w:color w:val="b25408" w:themeColor="accent6" w:themeShade="95"/>
        <w:sz w:val="22"/>
      </w:rPr>
      <w:pPr>
        <w:pBdr/>
        <w:spacing/>
        <w:ind/>
      </w:pPr>
      <w:tblPr>
        <w:tblBorders/>
      </w:tblPr>
      <w:tcPr>
        <w:shd w:val="clear" w:color="ffffff" w:themeColor="light1" w:fill="ffffff" w:themeFill="light1"/>
        <w:tcBorders>
          <w:top w:val="none"/>
          <w:left w:val="none"/>
          <w:bottom w:val="single" w:color="000000" w:themeColor="accent6" w:themeTint="90" w:sz="4" w:space="0"/>
          <w:right w:val="none"/>
        </w:tcBorders>
      </w:tcPr>
    </w:tblStylePr>
    <w:tblStylePr w:type="lastCol">
      <w:rPr>
        <w:rFonts w:ascii="Arial" w:hAnsi="Arial"/>
        <w:i/>
        <w:color w:val="b25408" w:themeColor="accent6" w:themeShade="95"/>
        <w:sz w:val="22"/>
      </w:rPr>
      <w:pPr>
        <w:pBdr/>
        <w:spacing/>
        <w:ind/>
      </w:pPr>
      <w:tblPr>
        <w:tblBorders/>
      </w:tblPr>
      <w:tcPr>
        <w:shd w:color="ffffff"/>
        <w:tcBorders>
          <w:top w:val="none"/>
          <w:left w:val="single" w:color="000000" w:themeColor="accent6" w:themeTint="90" w:sz="4" w:space="0"/>
          <w:bottom w:val="none"/>
          <w:right w:val="none"/>
        </w:tcBorders>
      </w:tcPr>
    </w:tblStylePr>
    <w:tblStylePr w:type="lastRow">
      <w:rPr>
        <w:rFonts w:ascii="Arial" w:hAnsi="Arial"/>
        <w:b/>
        <w:color w:val="b25408"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8">
    <w:name w:val="List Table 1 Light"/>
    <w:basedOn w:val="743"/>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9">
    <w:name w:val="List Table 1 Light - Accent 1"/>
    <w:basedOn w:val="743"/>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
    <w:name w:val="List Table 1 Light - Accent 2"/>
    <w:basedOn w:val="743"/>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
    <w:name w:val="List Table 1 Light - Accent 3"/>
    <w:basedOn w:val="743"/>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
    <w:name w:val="List Table 1 Light - Accent 4"/>
    <w:basedOn w:val="743"/>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
    <w:name w:val="List Table 1 Light - Accent 5"/>
    <w:basedOn w:val="743"/>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
    <w:name w:val="List Table 1 Light - Accent 6"/>
    <w:basedOn w:val="743"/>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
    <w:name w:val="List Table 2"/>
    <w:basedOn w:val="743"/>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
    <w:name w:val="List Table 2 - Accent 1"/>
    <w:basedOn w:val="743"/>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
    <w:name w:val="List Table 2 - Accent 2"/>
    <w:basedOn w:val="743"/>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
    <w:name w:val="List Table 2 - Accent 3"/>
    <w:basedOn w:val="743"/>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
    <w:name w:val="List Table 2 - Accent 4"/>
    <w:basedOn w:val="743"/>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
    <w:name w:val="List Table 2 - Accent 5"/>
    <w:basedOn w:val="743"/>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
    <w:name w:val="List Table 2 - Accent 6"/>
    <w:basedOn w:val="743"/>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
    <w:name w:val="List Table 3"/>
    <w:basedOn w:val="743"/>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
    <w:name w:val="List Table 3 - Accent 1"/>
    <w:basedOn w:val="743"/>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4f81bd"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
    <w:name w:val="List Table 3 - Accent 2"/>
    <w:basedOn w:val="743"/>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da9796"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
    <w:name w:val="List Table 3 - Accent 3"/>
    <w:basedOn w:val="743"/>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c3d69c"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
    <w:name w:val="List Table 3 - Accent 4"/>
    <w:basedOn w:val="743"/>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b2a1c7"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
    <w:name w:val="List Table 3 - Accent 5"/>
    <w:basedOn w:val="743"/>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92cddd"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
    <w:name w:val="List Table 3 - Accent 6"/>
    <w:basedOn w:val="743"/>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fac091"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
    <w:name w:val="List Table 4"/>
    <w:basedOn w:val="743"/>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
    <w:name w:val="List Table 4 - Accent 1"/>
    <w:basedOn w:val="743"/>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4f81bd"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
    <w:name w:val="List Table 4 - Accent 2"/>
    <w:basedOn w:val="743"/>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c0504d"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
    <w:name w:val="List Table 4 - Accent 3"/>
    <w:basedOn w:val="743"/>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9bbb59"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
    <w:name w:val="List Table 4 - Accent 4"/>
    <w:basedOn w:val="743"/>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8064a2"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
    <w:name w:val="List Table 4 - Accent 5"/>
    <w:basedOn w:val="743"/>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bacc6"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
    <w:name w:val="List Table 4 - Accent 6"/>
    <w:basedOn w:val="743"/>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f79646"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
    <w:name w:val="List Table 5 Dark"/>
    <w:basedOn w:val="743"/>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7">
    <w:name w:val="List Table 5 Dark - Accent 1"/>
    <w:basedOn w:val="743"/>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4f81bd" w:themeFill="accent1"/>
    </w:tblPr>
    <w:tcPr>
      <w:tcBorders/>
    </w:tcPr>
    <w:tblStylePr w:type="band1Horz">
      <w:pPr>
        <w:pBdr/>
        <w:spacing/>
        <w:ind/>
      </w:pPr>
      <w:tblPr>
        <w:tblBorders/>
      </w:tblPr>
      <w:tcPr>
        <w:shd w:val="clear" w:color="ffffff" w:themeColor="accent1" w:fill="4f81bd"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4f81bd"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4f81bd"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4f81bd"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8">
    <w:name w:val="List Table 5 Dark - Accent 2"/>
    <w:basedOn w:val="743"/>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da9796" w:themeFill="accent2" w:themeFillTint="97"/>
    </w:tblPr>
    <w:tcPr>
      <w:tcBorders/>
    </w:tcPr>
    <w:tblStylePr w:type="band1Horz">
      <w:pPr>
        <w:pBdr/>
        <w:spacing/>
        <w:ind/>
      </w:pPr>
      <w:tblPr>
        <w:tblBorders/>
      </w:tblPr>
      <w:tcPr>
        <w:shd w:val="clear" w:color="ffffff" w:themeColor="accent2" w:themeTint="97" w:fill="da9796"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da9796"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da9796"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da9796"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9">
    <w:name w:val="List Table 5 Dark - Accent 3"/>
    <w:basedOn w:val="743"/>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c3d69c" w:themeFill="accent3" w:themeFillTint="98"/>
    </w:tblPr>
    <w:tcPr>
      <w:tcBorders/>
    </w:tcPr>
    <w:tblStylePr w:type="band1Horz">
      <w:pPr>
        <w:pBdr/>
        <w:spacing/>
        <w:ind/>
      </w:pPr>
      <w:tblPr>
        <w:tblBorders/>
      </w:tblPr>
      <w:tcPr>
        <w:shd w:val="clear" w:color="ffffff" w:themeColor="accent3" w:themeTint="98" w:fill="c3d69c"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c3d69c"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c3d69c"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c3d69c"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0">
    <w:name w:val="List Table 5 Dark - Accent 4"/>
    <w:basedOn w:val="743"/>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b2a1c7" w:themeFill="accent4" w:themeFillTint="9A"/>
    </w:tblPr>
    <w:tcPr>
      <w:tcBorders/>
    </w:tcPr>
    <w:tblStylePr w:type="band1Horz">
      <w:pPr>
        <w:pBdr/>
        <w:spacing/>
        <w:ind/>
      </w:pPr>
      <w:tblPr>
        <w:tblBorders/>
      </w:tblPr>
      <w:tcPr>
        <w:shd w:val="clear" w:color="ffffff" w:themeColor="accent4" w:themeTint="9A" w:fill="b2a1c7"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b2a1c7"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b2a1c7"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b2a1c7"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1">
    <w:name w:val="List Table 5 Dark - Accent 5"/>
    <w:basedOn w:val="743"/>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92cddd" w:themeFill="accent5" w:themeFillTint="9A"/>
    </w:tblPr>
    <w:tcPr>
      <w:tcBorders/>
    </w:tcPr>
    <w:tblStylePr w:type="band1Horz">
      <w:pPr>
        <w:pBdr/>
        <w:spacing/>
        <w:ind/>
      </w:pPr>
      <w:tblPr>
        <w:tblBorders/>
      </w:tblPr>
      <w:tcPr>
        <w:shd w:val="clear" w:color="ffffff" w:themeColor="accent5" w:themeTint="9A" w:fill="92cddd"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92cddd"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92cddd"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92cddd"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2">
    <w:name w:val="List Table 5 Dark - Accent 6"/>
    <w:basedOn w:val="743"/>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fac091" w:themeFill="accent6" w:themeFillTint="98"/>
    </w:tblPr>
    <w:tcPr>
      <w:tcBorders/>
    </w:tcPr>
    <w:tblStylePr w:type="band1Horz">
      <w:pPr>
        <w:pBdr/>
        <w:spacing/>
        <w:ind/>
      </w:pPr>
      <w:tblPr>
        <w:tblBorders/>
      </w:tblPr>
      <w:tcPr>
        <w:shd w:val="clear" w:color="ffffff" w:themeColor="accent6" w:themeTint="98" w:fill="fac091"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fac091"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fac091"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fac091"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3">
    <w:name w:val="List Table 6 Colorful"/>
    <w:basedOn w:val="743"/>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
    <w:name w:val="List Table 6 Colorful - Accent 1"/>
    <w:basedOn w:val="743"/>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b4b72" w:themeColor="accent1" w:themeShade="95"/>
      </w:rPr>
      <w:pPr>
        <w:pBdr/>
        <w:spacing/>
        <w:ind/>
      </w:pPr>
      <w:tblPr>
        <w:tblBorders/>
      </w:tblPr>
      <w:tcPr>
        <w:tcBorders/>
      </w:tcPr>
    </w:tblStylePr>
    <w:tblStylePr w:type="firstRow">
      <w:rPr>
        <w:b/>
        <w:color w:val="2b4b72" w:themeColor="accent1" w:themeShade="95"/>
      </w:rPr>
      <w:pPr>
        <w:pBdr/>
        <w:spacing/>
        <w:ind/>
      </w:pPr>
      <w:tblPr>
        <w:tblBorders/>
      </w:tblPr>
      <w:tcPr>
        <w:tcBorders>
          <w:bottom w:val="single" w:color="000000" w:themeColor="accent1" w:sz="4" w:space="0"/>
        </w:tcBorders>
      </w:tcPr>
    </w:tblStylePr>
    <w:tblStylePr w:type="lastCol">
      <w:rPr>
        <w:b/>
        <w:color w:val="2b4b72" w:themeColor="accent1" w:themeShade="95"/>
      </w:rPr>
      <w:pPr>
        <w:pBdr/>
        <w:spacing/>
        <w:ind/>
      </w:pPr>
      <w:tblPr>
        <w:tblBorders/>
      </w:tblPr>
      <w:tcPr>
        <w:tcBorders/>
      </w:tcPr>
    </w:tblStylePr>
    <w:tblStylePr w:type="lastRow">
      <w:rPr>
        <w:b/>
        <w:color w:val="2b4b72"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
    <w:name w:val="List Table 6 Colorful - Accent 2"/>
    <w:basedOn w:val="743"/>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f3b38" w:themeColor="accent2" w:themeTint="97" w:themeShade="95"/>
      </w:rPr>
      <w:pPr>
        <w:pBdr/>
        <w:spacing/>
        <w:ind/>
      </w:pPr>
      <w:tblPr>
        <w:tblBorders/>
      </w:tblPr>
      <w:tcPr>
        <w:tcBorders/>
      </w:tcPr>
    </w:tblStylePr>
    <w:tblStylePr w:type="firstRow">
      <w:rPr>
        <w:b/>
        <w:color w:val="9f3b38" w:themeColor="accent2" w:themeTint="97" w:themeShade="95"/>
      </w:rPr>
      <w:pPr>
        <w:pBdr/>
        <w:spacing/>
        <w:ind/>
      </w:pPr>
      <w:tblPr>
        <w:tblBorders/>
      </w:tblPr>
      <w:tcPr>
        <w:tcBorders>
          <w:bottom w:val="single" w:color="000000" w:themeColor="accent2" w:themeTint="97" w:sz="4" w:space="0"/>
        </w:tcBorders>
      </w:tcPr>
    </w:tblStylePr>
    <w:tblStylePr w:type="lastCol">
      <w:rPr>
        <w:b/>
        <w:color w:val="9f3b38" w:themeColor="accent2" w:themeTint="97" w:themeShade="95"/>
      </w:rPr>
      <w:pPr>
        <w:pBdr/>
        <w:spacing/>
        <w:ind/>
      </w:pPr>
      <w:tblPr>
        <w:tblBorders/>
      </w:tblPr>
      <w:tcPr>
        <w:tcBorders/>
      </w:tcPr>
    </w:tblStylePr>
    <w:tblStylePr w:type="lastRow">
      <w:rPr>
        <w:b/>
        <w:color w:val="9f3b38"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
    <w:name w:val="List Table 6 Colorful - Accent 3"/>
    <w:basedOn w:val="743"/>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c9a3f" w:themeColor="accent3" w:themeTint="98" w:themeShade="95"/>
      </w:rPr>
      <w:pPr>
        <w:pBdr/>
        <w:spacing/>
        <w:ind/>
      </w:pPr>
      <w:tblPr>
        <w:tblBorders/>
      </w:tblPr>
      <w:tcPr>
        <w:tcBorders/>
      </w:tcPr>
    </w:tblStylePr>
    <w:tblStylePr w:type="firstRow">
      <w:rPr>
        <w:b/>
        <w:color w:val="7c9a3f" w:themeColor="accent3" w:themeTint="98" w:themeShade="95"/>
      </w:rPr>
      <w:pPr>
        <w:pBdr/>
        <w:spacing/>
        <w:ind/>
      </w:pPr>
      <w:tblPr>
        <w:tblBorders/>
      </w:tblPr>
      <w:tcPr>
        <w:tcBorders>
          <w:bottom w:val="single" w:color="000000" w:themeColor="accent3" w:themeTint="98" w:sz="4" w:space="0"/>
        </w:tcBorders>
      </w:tcPr>
    </w:tblStylePr>
    <w:tblStylePr w:type="lastCol">
      <w:rPr>
        <w:b/>
        <w:color w:val="7c9a3f" w:themeColor="accent3" w:themeTint="98" w:themeShade="95"/>
      </w:rPr>
      <w:pPr>
        <w:pBdr/>
        <w:spacing/>
        <w:ind/>
      </w:pPr>
      <w:tblPr>
        <w:tblBorders/>
      </w:tblPr>
      <w:tcPr>
        <w:tcBorders/>
      </w:tcPr>
    </w:tblStylePr>
    <w:tblStylePr w:type="lastRow">
      <w:rPr>
        <w:b/>
        <w:color w:val="7c9a3f"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
    <w:name w:val="List Table 6 Colorful - Accent 4"/>
    <w:basedOn w:val="743"/>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74f84" w:themeColor="accent4" w:themeTint="9A" w:themeShade="95"/>
      </w:rPr>
      <w:pPr>
        <w:pBdr/>
        <w:spacing/>
        <w:ind/>
      </w:pPr>
      <w:tblPr>
        <w:tblBorders/>
      </w:tblPr>
      <w:tcPr>
        <w:tcBorders/>
      </w:tcPr>
    </w:tblStylePr>
    <w:tblStylePr w:type="firstRow">
      <w:rPr>
        <w:b/>
        <w:color w:val="674f84" w:themeColor="accent4" w:themeTint="9A" w:themeShade="95"/>
      </w:rPr>
      <w:pPr>
        <w:pBdr/>
        <w:spacing/>
        <w:ind/>
      </w:pPr>
      <w:tblPr>
        <w:tblBorders/>
      </w:tblPr>
      <w:tcPr>
        <w:tcBorders>
          <w:bottom w:val="single" w:color="000000" w:themeColor="accent4" w:themeTint="9A" w:sz="4" w:space="0"/>
        </w:tcBorders>
      </w:tcPr>
    </w:tblStylePr>
    <w:tblStylePr w:type="lastCol">
      <w:rPr>
        <w:b/>
        <w:color w:val="674f84" w:themeColor="accent4" w:themeTint="9A" w:themeShade="95"/>
      </w:rPr>
      <w:pPr>
        <w:pBdr/>
        <w:spacing/>
        <w:ind/>
      </w:pPr>
      <w:tblPr>
        <w:tblBorders/>
      </w:tblPr>
      <w:tcPr>
        <w:tcBorders/>
      </w:tcPr>
    </w:tblStylePr>
    <w:tblStylePr w:type="lastRow">
      <w:rPr>
        <w:b/>
        <w:color w:val="674f84"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
    <w:name w:val="List Table 6 Colorful - Accent 5"/>
    <w:basedOn w:val="743"/>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48ba3" w:themeColor="accent5" w:themeTint="9A" w:themeShade="95"/>
      </w:rPr>
      <w:pPr>
        <w:pBdr/>
        <w:spacing/>
        <w:ind/>
      </w:pPr>
      <w:tblPr>
        <w:tblBorders/>
      </w:tblPr>
      <w:tcPr>
        <w:tcBorders/>
      </w:tcPr>
    </w:tblStylePr>
    <w:tblStylePr w:type="firstRow">
      <w:rPr>
        <w:b/>
        <w:color w:val="348ba3" w:themeColor="accent5" w:themeTint="9A" w:themeShade="95"/>
      </w:rPr>
      <w:pPr>
        <w:pBdr/>
        <w:spacing/>
        <w:ind/>
      </w:pPr>
      <w:tblPr>
        <w:tblBorders/>
      </w:tblPr>
      <w:tcPr>
        <w:tcBorders>
          <w:bottom w:val="single" w:color="000000" w:themeColor="accent5" w:themeTint="9A" w:sz="4" w:space="0"/>
        </w:tcBorders>
      </w:tcPr>
    </w:tblStylePr>
    <w:tblStylePr w:type="lastCol">
      <w:rPr>
        <w:b/>
        <w:color w:val="348ba3" w:themeColor="accent5" w:themeTint="9A" w:themeShade="95"/>
      </w:rPr>
      <w:pPr>
        <w:pBdr/>
        <w:spacing/>
        <w:ind/>
      </w:pPr>
      <w:tblPr>
        <w:tblBorders/>
      </w:tblPr>
      <w:tcPr>
        <w:tcBorders/>
      </w:tcPr>
    </w:tblStylePr>
    <w:tblStylePr w:type="lastRow">
      <w:rPr>
        <w:b/>
        <w:color w:val="348ba3"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9">
    <w:name w:val="List Table 6 Colorful - Accent 6"/>
    <w:basedOn w:val="743"/>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d690a" w:themeColor="accent6" w:themeTint="98" w:themeShade="95"/>
      </w:rPr>
      <w:pPr>
        <w:pBdr/>
        <w:spacing/>
        <w:ind/>
      </w:pPr>
      <w:tblPr>
        <w:tblBorders/>
      </w:tblPr>
      <w:tcPr>
        <w:tcBorders/>
      </w:tcPr>
    </w:tblStylePr>
    <w:tblStylePr w:type="firstRow">
      <w:rPr>
        <w:b/>
        <w:color w:val="dd690a" w:themeColor="accent6" w:themeTint="98" w:themeShade="95"/>
      </w:rPr>
      <w:pPr>
        <w:pBdr/>
        <w:spacing/>
        <w:ind/>
      </w:pPr>
      <w:tblPr>
        <w:tblBorders/>
      </w:tblPr>
      <w:tcPr>
        <w:tcBorders>
          <w:bottom w:val="single" w:color="000000" w:themeColor="accent6" w:themeTint="98" w:sz="4" w:space="0"/>
        </w:tcBorders>
      </w:tcPr>
    </w:tblStylePr>
    <w:tblStylePr w:type="lastCol">
      <w:rPr>
        <w:b/>
        <w:color w:val="dd690a" w:themeColor="accent6" w:themeTint="98" w:themeShade="95"/>
      </w:rPr>
      <w:pPr>
        <w:pBdr/>
        <w:spacing/>
        <w:ind/>
      </w:pPr>
      <w:tblPr>
        <w:tblBorders/>
      </w:tblPr>
      <w:tcPr>
        <w:tcBorders/>
      </w:tcPr>
    </w:tblStylePr>
    <w:tblStylePr w:type="lastRow">
      <w:rPr>
        <w:b/>
        <w:color w:val="dd690a"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0">
    <w:name w:val="List Table 7 Colorful"/>
    <w:basedOn w:val="743"/>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color="ffffff"/>
        <w:tcBorders>
          <w:top w:val="none"/>
          <w:left w:val="none"/>
          <w:bottom w:val="none"/>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left w:val="none"/>
          <w:bottom w:val="single" w:color="000000" w:themeColor="text1" w:themeTint="80" w:sz="4" w:space="0"/>
          <w:right w:val="none"/>
        </w:tcBorders>
      </w:tcPr>
    </w:tblStylePr>
    <w:tblStylePr w:type="lastCol">
      <w:rPr>
        <w:rFonts w:ascii="Arial" w:hAnsi="Arial"/>
        <w:i/>
        <w:color w:val="4a4a4a" w:themeColor="text1" w:themeTint="80" w:themeShade="95"/>
        <w:sz w:val="22"/>
      </w:rPr>
      <w:pPr>
        <w:pBdr/>
        <w:spacing/>
        <w:ind/>
      </w:pPr>
      <w:tblPr>
        <w:tblBorders/>
      </w:tblPr>
      <w:tcPr>
        <w:shd w:color="ffffff"/>
        <w:tcBorders>
          <w:top w:val="none"/>
          <w:left w:val="single" w:color="000000" w:themeColor="text1" w:themeTint="80" w:sz="4" w:space="0"/>
          <w:bottom w:val="none"/>
          <w:right w:val="none"/>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111">
    <w:name w:val="List Table 7 Colorful - Accent 1"/>
    <w:basedOn w:val="743"/>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2b4b72" w:themeColor="accent1" w:themeShade="95"/>
        <w:sz w:val="22"/>
      </w:rPr>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rPr>
        <w:rFonts w:ascii="Arial" w:hAnsi="Arial"/>
        <w:color w:val="2b4b72"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b4b72" w:themeColor="accent1" w:themeShade="95"/>
        <w:sz w:val="22"/>
      </w:rPr>
      <w:pPr>
        <w:pBdr/>
        <w:spacing/>
        <w:ind/>
        <w:jc w:val="right"/>
      </w:pPr>
      <w:tblPr>
        <w:tblBorders/>
      </w:tblPr>
      <w:tcPr>
        <w:shd w:color="ffffff"/>
        <w:tcBorders>
          <w:top w:val="none"/>
          <w:left w:val="none"/>
          <w:bottom w:val="none"/>
          <w:right w:val="single" w:color="000000" w:themeColor="accent1" w:sz="4" w:space="0"/>
        </w:tcBorders>
      </w:tcPr>
    </w:tblStylePr>
    <w:tblStylePr w:type="firstRow">
      <w:rPr>
        <w:rFonts w:ascii="Arial" w:hAnsi="Arial"/>
        <w:i/>
        <w:color w:val="2b4b72" w:themeColor="accent1" w:themeShade="95"/>
        <w:sz w:val="22"/>
      </w:rPr>
      <w:pPr>
        <w:pBdr/>
        <w:spacing/>
        <w:ind/>
      </w:pPr>
      <w:tblPr>
        <w:tblBorders/>
      </w:tblPr>
      <w:tcPr>
        <w:shd w:val="clear" w:color="ffffff" w:themeColor="light1" w:fill="ffffff" w:themeFill="light1"/>
        <w:tcBorders>
          <w:top w:val="none"/>
          <w:left w:val="none"/>
          <w:bottom w:val="single" w:color="000000" w:themeColor="accent1" w:sz="4" w:space="0"/>
          <w:right w:val="none"/>
        </w:tcBorders>
      </w:tcPr>
    </w:tblStylePr>
    <w:tblStylePr w:type="lastCol">
      <w:rPr>
        <w:rFonts w:ascii="Arial" w:hAnsi="Arial"/>
        <w:i/>
        <w:color w:val="2b4b72" w:themeColor="accent1" w:themeShade="95"/>
        <w:sz w:val="22"/>
      </w:rPr>
      <w:pPr>
        <w:pBdr/>
        <w:spacing/>
        <w:ind/>
      </w:pPr>
      <w:tblPr>
        <w:tblBorders/>
      </w:tblPr>
      <w:tcPr>
        <w:shd w:color="ffffff"/>
        <w:tcBorders>
          <w:top w:val="none"/>
          <w:left w:val="single" w:color="000000" w:themeColor="accent1" w:sz="4" w:space="0"/>
          <w:bottom w:val="none"/>
          <w:right w:val="none"/>
        </w:tcBorders>
      </w:tcPr>
    </w:tblStylePr>
    <w:tblStylePr w:type="lastRow">
      <w:rPr>
        <w:rFonts w:ascii="Arial" w:hAnsi="Arial"/>
        <w:i/>
        <w:color w:val="2b4b72" w:themeColor="accent1" w:themeShade="95"/>
        <w:sz w:val="22"/>
      </w:rPr>
      <w:pPr>
        <w:pBdr/>
        <w:spacing/>
        <w:ind/>
      </w:pPr>
      <w:tblPr>
        <w:tblBorders/>
      </w:tblPr>
      <w:tcPr>
        <w:shd w:val="clear" w:color="ffffff" w:themeColor="light1" w:fill="ffffff" w:themeFill="light1"/>
        <w:tcBorders>
          <w:top w:val="single" w:color="000000" w:themeColor="accent1"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b4b72" w:themeColor="accent1" w:themeShade="95"/>
        <w:sz w:val="22"/>
      </w:rPr>
      <w:pPr>
        <w:pBdr/>
        <w:spacing/>
        <w:ind/>
      </w:pPr>
      <w:tblPr>
        <w:tblBorders/>
      </w:tblPr>
      <w:tcPr>
        <w:tcBorders/>
      </w:tcPr>
    </w:tblStylePr>
  </w:style>
  <w:style w:type="table" w:styleId="112">
    <w:name w:val="List Table 7 Colorful - Accent 2"/>
    <w:basedOn w:val="743"/>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9f3b38" w:themeColor="accent2" w:themeTint="97" w:themeShade="95"/>
        <w:sz w:val="22"/>
      </w:rPr>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rPr>
        <w:rFonts w:ascii="Arial" w:hAnsi="Arial"/>
        <w:color w:val="9f3b38"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f3b38" w:themeColor="accent2" w:themeTint="97" w:themeShade="95"/>
        <w:sz w:val="22"/>
      </w:rPr>
      <w:pPr>
        <w:pBdr/>
        <w:spacing/>
        <w:ind/>
        <w:jc w:val="right"/>
      </w:pPr>
      <w:tblPr>
        <w:tblBorders/>
      </w:tblPr>
      <w:tcPr>
        <w:shd w:color="ffffff"/>
        <w:tcBorders>
          <w:top w:val="none"/>
          <w:left w:val="none"/>
          <w:bottom w:val="none"/>
          <w:right w:val="single" w:color="000000" w:themeColor="accent2" w:themeTint="97" w:sz="4" w:space="0"/>
        </w:tcBorders>
      </w:tcPr>
    </w:tblStylePr>
    <w:tblStylePr w:type="firstRow">
      <w:rPr>
        <w:rFonts w:ascii="Arial" w:hAnsi="Arial"/>
        <w:i/>
        <w:color w:val="9f3b38" w:themeColor="accent2" w:themeTint="97" w:themeShade="95"/>
        <w:sz w:val="22"/>
      </w:rPr>
      <w:pPr>
        <w:pBdr/>
        <w:spacing/>
        <w:ind/>
      </w:pPr>
      <w:tblPr>
        <w:tblBorders/>
      </w:tblPr>
      <w:tcPr>
        <w:shd w:val="clear" w:color="ffffff" w:themeColor="light1" w:fill="ffffff" w:themeFill="light1"/>
        <w:tcBorders>
          <w:top w:val="none"/>
          <w:left w:val="none"/>
          <w:bottom w:val="single" w:color="000000" w:themeColor="accent2" w:themeTint="97" w:sz="4" w:space="0"/>
          <w:right w:val="none"/>
        </w:tcBorders>
      </w:tcPr>
    </w:tblStylePr>
    <w:tblStylePr w:type="lastCol">
      <w:rPr>
        <w:rFonts w:ascii="Arial" w:hAnsi="Arial"/>
        <w:i/>
        <w:color w:val="9f3b38" w:themeColor="accent2" w:themeTint="97" w:themeShade="95"/>
        <w:sz w:val="22"/>
      </w:rPr>
      <w:pPr>
        <w:pBdr/>
        <w:spacing/>
        <w:ind/>
      </w:pPr>
      <w:tblPr>
        <w:tblBorders/>
      </w:tblPr>
      <w:tcPr>
        <w:shd w:color="ffffff"/>
        <w:tcBorders>
          <w:top w:val="none"/>
          <w:left w:val="single" w:color="000000" w:themeColor="accent2" w:themeTint="97" w:sz="4" w:space="0"/>
          <w:bottom w:val="none"/>
          <w:right w:val="none"/>
        </w:tcBorders>
      </w:tcPr>
    </w:tblStylePr>
    <w:tblStylePr w:type="lastRow">
      <w:rPr>
        <w:rFonts w:ascii="Arial" w:hAnsi="Arial"/>
        <w:i/>
        <w:color w:val="9f3b38"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9f3b38" w:themeColor="accent2" w:themeTint="97" w:themeShade="95"/>
        <w:sz w:val="22"/>
      </w:rPr>
      <w:pPr>
        <w:pBdr/>
        <w:spacing/>
        <w:ind/>
      </w:pPr>
      <w:tblPr>
        <w:tblBorders/>
      </w:tblPr>
      <w:tcPr>
        <w:tcBorders/>
      </w:tcPr>
    </w:tblStylePr>
  </w:style>
  <w:style w:type="table" w:styleId="113">
    <w:name w:val="List Table 7 Colorful - Accent 3"/>
    <w:basedOn w:val="743"/>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7c9a3f" w:themeColor="accent3" w:themeTint="98" w:themeShade="95"/>
        <w:sz w:val="22"/>
      </w:rPr>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rPr>
        <w:rFonts w:ascii="Arial" w:hAnsi="Arial"/>
        <w:color w:val="7c9a3f"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c9a3f" w:themeColor="accent3" w:themeTint="98" w:themeShade="95"/>
        <w:sz w:val="22"/>
      </w:rPr>
      <w:pPr>
        <w:pBdr/>
        <w:spacing/>
        <w:ind/>
        <w:jc w:val="right"/>
      </w:pPr>
      <w:tblPr>
        <w:tblBorders/>
      </w:tblPr>
      <w:tcPr>
        <w:shd w:color="ffffff"/>
        <w:tcBorders>
          <w:top w:val="none"/>
          <w:left w:val="none"/>
          <w:bottom w:val="none"/>
          <w:right w:val="single" w:color="000000" w:themeColor="accent3" w:themeTint="98" w:sz="4" w:space="0"/>
        </w:tcBorders>
      </w:tcPr>
    </w:tblStylePr>
    <w:tblStylePr w:type="firstRow">
      <w:rPr>
        <w:rFonts w:ascii="Arial" w:hAnsi="Arial"/>
        <w:i/>
        <w:color w:val="7c9a3f" w:themeColor="accent3" w:themeTint="98" w:themeShade="95"/>
        <w:sz w:val="22"/>
      </w:rPr>
      <w:pPr>
        <w:pBdr/>
        <w:spacing/>
        <w:ind/>
      </w:pPr>
      <w:tblPr>
        <w:tblBorders/>
      </w:tblPr>
      <w:tcPr>
        <w:shd w:val="clear" w:color="ffffff" w:themeColor="light1" w:fill="ffffff" w:themeFill="light1"/>
        <w:tcBorders>
          <w:top w:val="none"/>
          <w:left w:val="none"/>
          <w:bottom w:val="single" w:color="000000" w:themeColor="accent3" w:themeTint="98" w:sz="4" w:space="0"/>
          <w:right w:val="none"/>
        </w:tcBorders>
      </w:tcPr>
    </w:tblStylePr>
    <w:tblStylePr w:type="lastCol">
      <w:rPr>
        <w:rFonts w:ascii="Arial" w:hAnsi="Arial"/>
        <w:i/>
        <w:color w:val="7c9a3f" w:themeColor="accent3" w:themeTint="98" w:themeShade="95"/>
        <w:sz w:val="22"/>
      </w:rPr>
      <w:pPr>
        <w:pBdr/>
        <w:spacing/>
        <w:ind/>
      </w:pPr>
      <w:tblPr>
        <w:tblBorders/>
      </w:tblPr>
      <w:tcPr>
        <w:shd w:color="ffffff"/>
        <w:tcBorders>
          <w:top w:val="none"/>
          <w:left w:val="single" w:color="000000" w:themeColor="accent3" w:themeTint="98" w:sz="4" w:space="0"/>
          <w:bottom w:val="none"/>
          <w:right w:val="none"/>
        </w:tcBorders>
      </w:tcPr>
    </w:tblStylePr>
    <w:tblStylePr w:type="lastRow">
      <w:rPr>
        <w:rFonts w:ascii="Arial" w:hAnsi="Arial"/>
        <w:i/>
        <w:color w:val="7c9a3f"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7c9a3f" w:themeColor="accent3" w:themeTint="98" w:themeShade="95"/>
        <w:sz w:val="22"/>
      </w:rPr>
      <w:pPr>
        <w:pBdr/>
        <w:spacing/>
        <w:ind/>
      </w:pPr>
      <w:tblPr>
        <w:tblBorders/>
      </w:tblPr>
      <w:tcPr>
        <w:tcBorders/>
      </w:tcPr>
    </w:tblStylePr>
  </w:style>
  <w:style w:type="table" w:styleId="114">
    <w:name w:val="List Table 7 Colorful - Accent 4"/>
    <w:basedOn w:val="743"/>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674f84" w:themeColor="accent4" w:themeTint="9A" w:themeShade="95"/>
        <w:sz w:val="22"/>
      </w:rPr>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rPr>
        <w:rFonts w:ascii="Arial" w:hAnsi="Arial"/>
        <w:color w:val="674f84"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74f84" w:themeColor="accent4" w:themeTint="9A" w:themeShade="95"/>
        <w:sz w:val="22"/>
      </w:rPr>
      <w:pPr>
        <w:pBdr/>
        <w:spacing/>
        <w:ind/>
        <w:jc w:val="right"/>
      </w:pPr>
      <w:tblPr>
        <w:tblBorders/>
      </w:tblPr>
      <w:tcPr>
        <w:shd w:color="ffffff"/>
        <w:tcBorders>
          <w:top w:val="none"/>
          <w:left w:val="none"/>
          <w:bottom w:val="none"/>
          <w:right w:val="single" w:color="000000" w:themeColor="accent4" w:themeTint="9A" w:sz="4" w:space="0"/>
        </w:tcBorders>
      </w:tcPr>
    </w:tblStylePr>
    <w:tblStylePr w:type="firstRow">
      <w:rPr>
        <w:rFonts w:ascii="Arial" w:hAnsi="Arial"/>
        <w:i/>
        <w:color w:val="674f84" w:themeColor="accent4" w:themeTint="9A" w:themeShade="95"/>
        <w:sz w:val="22"/>
      </w:rPr>
      <w:pPr>
        <w:pBdr/>
        <w:spacing/>
        <w:ind/>
      </w:pPr>
      <w:tblPr>
        <w:tblBorders/>
      </w:tblPr>
      <w:tcPr>
        <w:shd w:val="clear" w:color="ffffff" w:themeColor="light1" w:fill="ffffff" w:themeFill="light1"/>
        <w:tcBorders>
          <w:top w:val="none"/>
          <w:left w:val="none"/>
          <w:bottom w:val="single" w:color="000000" w:themeColor="accent4" w:themeTint="9A" w:sz="4" w:space="0"/>
          <w:right w:val="none"/>
        </w:tcBorders>
      </w:tcPr>
    </w:tblStylePr>
    <w:tblStylePr w:type="lastCol">
      <w:rPr>
        <w:rFonts w:ascii="Arial" w:hAnsi="Arial"/>
        <w:i/>
        <w:color w:val="674f84" w:themeColor="accent4" w:themeTint="9A" w:themeShade="95"/>
        <w:sz w:val="22"/>
      </w:rPr>
      <w:pPr>
        <w:pBdr/>
        <w:spacing/>
        <w:ind/>
      </w:pPr>
      <w:tblPr>
        <w:tblBorders/>
      </w:tblPr>
      <w:tcPr>
        <w:shd w:color="ffffff"/>
        <w:tcBorders>
          <w:top w:val="none"/>
          <w:left w:val="single" w:color="000000" w:themeColor="accent4" w:themeTint="9A" w:sz="4" w:space="0"/>
          <w:bottom w:val="none"/>
          <w:right w:val="none"/>
        </w:tcBorders>
      </w:tcPr>
    </w:tblStylePr>
    <w:tblStylePr w:type="lastRow">
      <w:rPr>
        <w:rFonts w:ascii="Arial" w:hAnsi="Arial"/>
        <w:i/>
        <w:color w:val="674f84"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674f84" w:themeColor="accent4" w:themeTint="9A" w:themeShade="95"/>
        <w:sz w:val="22"/>
      </w:rPr>
      <w:pPr>
        <w:pBdr/>
        <w:spacing/>
        <w:ind/>
      </w:pPr>
      <w:tblPr>
        <w:tblBorders/>
      </w:tblPr>
      <w:tcPr>
        <w:tcBorders/>
      </w:tcPr>
    </w:tblStylePr>
  </w:style>
  <w:style w:type="table" w:styleId="115">
    <w:name w:val="List Table 7 Colorful - Accent 5"/>
    <w:basedOn w:val="743"/>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348ba3" w:themeColor="accent5" w:themeTint="9A" w:themeShade="95"/>
        <w:sz w:val="22"/>
      </w:rPr>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rPr>
        <w:rFonts w:ascii="Arial" w:hAnsi="Arial"/>
        <w:color w:val="348ba3"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48ba3" w:themeColor="accent5" w:themeTint="9A" w:themeShade="95"/>
        <w:sz w:val="22"/>
      </w:rPr>
      <w:pPr>
        <w:pBdr/>
        <w:spacing/>
        <w:ind/>
        <w:jc w:val="right"/>
      </w:pPr>
      <w:tblPr>
        <w:tblBorders/>
      </w:tblPr>
      <w:tcPr>
        <w:shd w:color="ffffff"/>
        <w:tcBorders>
          <w:top w:val="none"/>
          <w:left w:val="none"/>
          <w:bottom w:val="none"/>
          <w:right w:val="single" w:color="000000" w:themeColor="accent5" w:themeTint="9A" w:sz="4" w:space="0"/>
        </w:tcBorders>
      </w:tcPr>
    </w:tblStylePr>
    <w:tblStylePr w:type="firstRow">
      <w:rPr>
        <w:rFonts w:ascii="Arial" w:hAnsi="Arial"/>
        <w:i/>
        <w:color w:val="348ba3" w:themeColor="accent5" w:themeTint="9A" w:themeShade="95"/>
        <w:sz w:val="22"/>
      </w:rPr>
      <w:pPr>
        <w:pBdr/>
        <w:spacing/>
        <w:ind/>
      </w:pPr>
      <w:tblPr>
        <w:tblBorders/>
      </w:tblPr>
      <w:tcPr>
        <w:shd w:val="clear" w:color="ffffff" w:themeColor="light1" w:fill="ffffff" w:themeFill="light1"/>
        <w:tcBorders>
          <w:top w:val="none"/>
          <w:left w:val="none"/>
          <w:bottom w:val="single" w:color="000000" w:themeColor="accent5" w:themeTint="9A" w:sz="4" w:space="0"/>
          <w:right w:val="none"/>
        </w:tcBorders>
      </w:tcPr>
    </w:tblStylePr>
    <w:tblStylePr w:type="lastCol">
      <w:rPr>
        <w:rFonts w:ascii="Arial" w:hAnsi="Arial"/>
        <w:i/>
        <w:color w:val="348ba3" w:themeColor="accent5" w:themeTint="9A" w:themeShade="95"/>
        <w:sz w:val="22"/>
      </w:rPr>
      <w:pPr>
        <w:pBdr/>
        <w:spacing/>
        <w:ind/>
      </w:pPr>
      <w:tblPr>
        <w:tblBorders/>
      </w:tblPr>
      <w:tcPr>
        <w:shd w:color="ffffff"/>
        <w:tcBorders>
          <w:top w:val="none"/>
          <w:left w:val="single" w:color="000000" w:themeColor="accent5" w:themeTint="9A" w:sz="4" w:space="0"/>
          <w:bottom w:val="none"/>
          <w:right w:val="none"/>
        </w:tcBorders>
      </w:tcPr>
    </w:tblStylePr>
    <w:tblStylePr w:type="lastRow">
      <w:rPr>
        <w:rFonts w:ascii="Arial" w:hAnsi="Arial"/>
        <w:i/>
        <w:color w:val="348ba3"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348ba3" w:themeColor="accent5" w:themeTint="9A" w:themeShade="95"/>
        <w:sz w:val="22"/>
      </w:rPr>
      <w:pPr>
        <w:pBdr/>
        <w:spacing/>
        <w:ind/>
      </w:pPr>
      <w:tblPr>
        <w:tblBorders/>
      </w:tblPr>
      <w:tcPr>
        <w:tcBorders/>
      </w:tcPr>
    </w:tblStylePr>
  </w:style>
  <w:style w:type="table" w:styleId="116">
    <w:name w:val="List Table 7 Colorful - Accent 6"/>
    <w:basedOn w:val="743"/>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dd690a" w:themeColor="accent6" w:themeTint="98" w:themeShade="95"/>
        <w:sz w:val="22"/>
      </w:rPr>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rPr>
        <w:rFonts w:ascii="Arial" w:hAnsi="Arial"/>
        <w:color w:val="dd690a"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d690a" w:themeColor="accent6" w:themeTint="98" w:themeShade="95"/>
        <w:sz w:val="22"/>
      </w:rPr>
      <w:pPr>
        <w:pBdr/>
        <w:spacing/>
        <w:ind/>
        <w:jc w:val="right"/>
      </w:pPr>
      <w:tblPr>
        <w:tblBorders/>
      </w:tblPr>
      <w:tcPr>
        <w:shd w:color="ffffff"/>
        <w:tcBorders>
          <w:top w:val="none"/>
          <w:left w:val="none"/>
          <w:bottom w:val="none"/>
          <w:right w:val="single" w:color="000000" w:themeColor="accent6" w:themeTint="98" w:sz="4" w:space="0"/>
        </w:tcBorders>
      </w:tcPr>
    </w:tblStylePr>
    <w:tblStylePr w:type="firstRow">
      <w:rPr>
        <w:rFonts w:ascii="Arial" w:hAnsi="Arial"/>
        <w:i/>
        <w:color w:val="dd690a" w:themeColor="accent6" w:themeTint="98" w:themeShade="95"/>
        <w:sz w:val="22"/>
      </w:rPr>
      <w:pPr>
        <w:pBdr/>
        <w:spacing/>
        <w:ind/>
      </w:pPr>
      <w:tblPr>
        <w:tblBorders/>
      </w:tblPr>
      <w:tcPr>
        <w:shd w:val="clear" w:color="ffffff" w:themeColor="light1" w:fill="ffffff" w:themeFill="light1"/>
        <w:tcBorders>
          <w:top w:val="none"/>
          <w:left w:val="none"/>
          <w:bottom w:val="single" w:color="000000" w:themeColor="accent6" w:themeTint="98" w:sz="4" w:space="0"/>
          <w:right w:val="none"/>
        </w:tcBorders>
      </w:tcPr>
    </w:tblStylePr>
    <w:tblStylePr w:type="lastCol">
      <w:rPr>
        <w:rFonts w:ascii="Arial" w:hAnsi="Arial"/>
        <w:i/>
        <w:color w:val="dd690a" w:themeColor="accent6" w:themeTint="98" w:themeShade="95"/>
        <w:sz w:val="22"/>
      </w:rPr>
      <w:pPr>
        <w:pBdr/>
        <w:spacing/>
        <w:ind/>
      </w:pPr>
      <w:tblPr>
        <w:tblBorders/>
      </w:tblPr>
      <w:tcPr>
        <w:shd w:color="ffffff"/>
        <w:tcBorders>
          <w:top w:val="none"/>
          <w:left w:val="single" w:color="000000" w:themeColor="accent6" w:themeTint="98" w:sz="4" w:space="0"/>
          <w:bottom w:val="none"/>
          <w:right w:val="none"/>
        </w:tcBorders>
      </w:tcPr>
    </w:tblStylePr>
    <w:tblStylePr w:type="lastRow">
      <w:rPr>
        <w:rFonts w:ascii="Arial" w:hAnsi="Arial"/>
        <w:i/>
        <w:color w:val="dd690a"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dd690a" w:themeColor="accent6" w:themeTint="98" w:themeShade="95"/>
        <w:sz w:val="22"/>
      </w:rPr>
      <w:pPr>
        <w:pBdr/>
        <w:spacing/>
        <w:ind/>
      </w:pPr>
      <w:tblPr>
        <w:tblBorders/>
      </w:tblPr>
      <w:tcPr>
        <w:tcBorders/>
      </w:tcPr>
    </w:tblStylePr>
  </w:style>
  <w:style w:type="table" w:styleId="117">
    <w:name w:val="Lined - Accent"/>
    <w:basedOn w:val="743"/>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8">
    <w:name w:val="Lined - Accent 1"/>
    <w:basedOn w:val="743"/>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9">
    <w:name w:val="Lined - Accent 2"/>
    <w:basedOn w:val="743"/>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0">
    <w:name w:val="Lined - Accent 3"/>
    <w:basedOn w:val="743"/>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1">
    <w:name w:val="Lined - Accent 4"/>
    <w:basedOn w:val="743"/>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2">
    <w:name w:val="Lined - Accent 5"/>
    <w:basedOn w:val="743"/>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firstCol">
      <w:rPr>
        <w:rFonts w:ascii="Arial" w:hAnsi="Arial"/>
        <w:color w:val="f2f2f2"/>
        <w:sz w:val="22"/>
      </w:rPr>
      <w:pPr>
        <w:pBdr/>
        <w:spacing/>
        <w:ind/>
      </w:pPr>
      <w:tblPr>
        <w:tblBorders/>
      </w:tblPr>
      <w:tcPr>
        <w:shd w:val="clear" w:color="ffffff" w:themeColor="accent5" w:fill="4bacc6" w:themeFill="accent5"/>
        <w:tcBorders/>
      </w:tcPr>
    </w:tblStylePr>
    <w:tblStylePr w:type="firstRow">
      <w:rPr>
        <w:rFonts w:ascii="Arial" w:hAnsi="Arial"/>
        <w:color w:val="f2f2f2"/>
        <w:sz w:val="22"/>
      </w:rPr>
      <w:pPr>
        <w:pBdr/>
        <w:spacing/>
        <w:ind/>
      </w:pPr>
      <w:tblPr>
        <w:tblBorders/>
      </w:tblPr>
      <w:tcPr>
        <w:shd w:val="clear" w:color="ffffff" w:themeColor="accent5" w:fill="4bacc6" w:themeFill="accent5"/>
        <w:tcBorders/>
      </w:tcPr>
    </w:tblStylePr>
    <w:tblStylePr w:type="lastCol">
      <w:rPr>
        <w:rFonts w:ascii="Arial" w:hAnsi="Arial"/>
        <w:color w:val="f2f2f2"/>
        <w:sz w:val="22"/>
      </w:rPr>
      <w:pPr>
        <w:pBdr/>
        <w:spacing/>
        <w:ind/>
      </w:pPr>
      <w:tblPr>
        <w:tblBorders/>
      </w:tblPr>
      <w:tcPr>
        <w:shd w:val="clear" w:color="ffffff" w:themeColor="accent5" w:fill="4bacc6" w:themeFill="accent5"/>
        <w:tcBorders/>
      </w:tcPr>
    </w:tblStylePr>
    <w:tblStylePr w:type="lastRow">
      <w:rPr>
        <w:rFonts w:ascii="Arial" w:hAnsi="Arial"/>
        <w:color w:val="f2f2f2"/>
        <w:sz w:val="22"/>
      </w:rPr>
      <w:pPr>
        <w:pBdr/>
        <w:spacing/>
        <w:ind/>
      </w:pPr>
      <w:tblPr>
        <w:tblBorders/>
      </w:tblPr>
      <w:tcPr>
        <w:shd w:val="clear" w:color="ffffff" w:themeColor="accent5" w:fill="4bacc6"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3">
    <w:name w:val="Lined - Accent 6"/>
    <w:basedOn w:val="743"/>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firstCol">
      <w:rPr>
        <w:rFonts w:ascii="Arial" w:hAnsi="Arial"/>
        <w:color w:val="f2f2f2"/>
        <w:sz w:val="22"/>
      </w:rPr>
      <w:pPr>
        <w:pBdr/>
        <w:spacing/>
        <w:ind/>
      </w:pPr>
      <w:tblPr>
        <w:tblBorders/>
      </w:tblPr>
      <w:tcPr>
        <w:shd w:val="clear" w:color="ffffff" w:themeColor="accent6" w:fill="f79646" w:themeFill="accent6"/>
        <w:tcBorders/>
      </w:tcPr>
    </w:tblStylePr>
    <w:tblStylePr w:type="firstRow">
      <w:rPr>
        <w:rFonts w:ascii="Arial" w:hAnsi="Arial"/>
        <w:color w:val="f2f2f2"/>
        <w:sz w:val="22"/>
      </w:rPr>
      <w:pPr>
        <w:pBdr/>
        <w:spacing/>
        <w:ind/>
      </w:pPr>
      <w:tblPr>
        <w:tblBorders/>
      </w:tblPr>
      <w:tcPr>
        <w:shd w:val="clear" w:color="ffffff" w:themeColor="accent6" w:fill="f79646" w:themeFill="accent6"/>
        <w:tcBorders/>
      </w:tcPr>
    </w:tblStylePr>
    <w:tblStylePr w:type="lastCol">
      <w:rPr>
        <w:rFonts w:ascii="Arial" w:hAnsi="Arial"/>
        <w:color w:val="f2f2f2"/>
        <w:sz w:val="22"/>
      </w:rPr>
      <w:pPr>
        <w:pBdr/>
        <w:spacing/>
        <w:ind/>
      </w:pPr>
      <w:tblPr>
        <w:tblBorders/>
      </w:tblPr>
      <w:tcPr>
        <w:shd w:val="clear" w:color="ffffff" w:themeColor="accent6" w:fill="f79646" w:themeFill="accent6"/>
        <w:tcBorders/>
      </w:tcPr>
    </w:tblStylePr>
    <w:tblStylePr w:type="lastRow">
      <w:rPr>
        <w:rFonts w:ascii="Arial" w:hAnsi="Arial"/>
        <w:color w:val="f2f2f2"/>
        <w:sz w:val="22"/>
      </w:rPr>
      <w:pPr>
        <w:pBdr/>
        <w:spacing/>
        <w:ind/>
      </w:pPr>
      <w:tblPr>
        <w:tblBorders/>
      </w:tblPr>
      <w:tcPr>
        <w:shd w:val="clear" w:color="ffffff" w:themeColor="accent6" w:fill="f79646"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4">
    <w:name w:val="Bordered &amp; Lined - Accent"/>
    <w:basedOn w:val="743"/>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5">
    <w:name w:val="Bordered &amp; Lined - Accent 1"/>
    <w:basedOn w:val="743"/>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6">
    <w:name w:val="Bordered &amp; Lined - Accent 2"/>
    <w:basedOn w:val="743"/>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7">
    <w:name w:val="Bordered &amp; Lined - Accent 3"/>
    <w:basedOn w:val="743"/>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8">
    <w:name w:val="Bordered &amp; Lined - Accent 4"/>
    <w:basedOn w:val="743"/>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9">
    <w:name w:val="Bordered &amp; Lined - Accent 5"/>
    <w:basedOn w:val="743"/>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firstCol">
      <w:rPr>
        <w:rFonts w:ascii="Arial" w:hAnsi="Arial"/>
        <w:color w:val="f2f2f2"/>
        <w:sz w:val="22"/>
      </w:rPr>
      <w:pPr>
        <w:pBdr/>
        <w:spacing/>
        <w:ind/>
      </w:pPr>
      <w:tblPr>
        <w:tblBorders/>
      </w:tblPr>
      <w:tcPr>
        <w:shd w:val="clear" w:color="ffffff" w:themeColor="accent5" w:fill="4bacc6" w:themeFill="accent5"/>
        <w:tcBorders/>
      </w:tcPr>
    </w:tblStylePr>
    <w:tblStylePr w:type="firstRow">
      <w:rPr>
        <w:rFonts w:ascii="Arial" w:hAnsi="Arial"/>
        <w:color w:val="f2f2f2"/>
        <w:sz w:val="22"/>
      </w:rPr>
      <w:pPr>
        <w:pBdr/>
        <w:spacing/>
        <w:ind/>
      </w:pPr>
      <w:tblPr>
        <w:tblBorders/>
      </w:tblPr>
      <w:tcPr>
        <w:shd w:val="clear" w:color="ffffff" w:themeColor="accent5" w:fill="4bacc6" w:themeFill="accent5"/>
        <w:tcBorders/>
      </w:tcPr>
    </w:tblStylePr>
    <w:tblStylePr w:type="lastCol">
      <w:rPr>
        <w:rFonts w:ascii="Arial" w:hAnsi="Arial"/>
        <w:color w:val="f2f2f2"/>
        <w:sz w:val="22"/>
      </w:rPr>
      <w:pPr>
        <w:pBdr/>
        <w:spacing/>
        <w:ind/>
      </w:pPr>
      <w:tblPr>
        <w:tblBorders/>
      </w:tblPr>
      <w:tcPr>
        <w:shd w:val="clear" w:color="ffffff" w:themeColor="accent5" w:fill="4bacc6" w:themeFill="accent5"/>
        <w:tcBorders/>
      </w:tcPr>
    </w:tblStylePr>
    <w:tblStylePr w:type="lastRow">
      <w:rPr>
        <w:rFonts w:ascii="Arial" w:hAnsi="Arial"/>
        <w:color w:val="f2f2f2"/>
        <w:sz w:val="22"/>
      </w:rPr>
      <w:pPr>
        <w:pBdr/>
        <w:spacing/>
        <w:ind/>
      </w:pPr>
      <w:tblPr>
        <w:tblBorders/>
      </w:tblPr>
      <w:tcPr>
        <w:shd w:val="clear" w:color="ffffff" w:themeColor="accent5" w:fill="4bacc6"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0">
    <w:name w:val="Bordered &amp; Lined - Accent 6"/>
    <w:basedOn w:val="743"/>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firstCol">
      <w:rPr>
        <w:rFonts w:ascii="Arial" w:hAnsi="Arial"/>
        <w:color w:val="f2f2f2"/>
        <w:sz w:val="22"/>
      </w:rPr>
      <w:pPr>
        <w:pBdr/>
        <w:spacing/>
        <w:ind/>
      </w:pPr>
      <w:tblPr>
        <w:tblBorders/>
      </w:tblPr>
      <w:tcPr>
        <w:shd w:val="clear" w:color="ffffff" w:themeColor="accent6" w:fill="f79646" w:themeFill="accent6"/>
        <w:tcBorders/>
      </w:tcPr>
    </w:tblStylePr>
    <w:tblStylePr w:type="firstRow">
      <w:rPr>
        <w:rFonts w:ascii="Arial" w:hAnsi="Arial"/>
        <w:color w:val="f2f2f2"/>
        <w:sz w:val="22"/>
      </w:rPr>
      <w:pPr>
        <w:pBdr/>
        <w:spacing/>
        <w:ind/>
      </w:pPr>
      <w:tblPr>
        <w:tblBorders/>
      </w:tblPr>
      <w:tcPr>
        <w:shd w:val="clear" w:color="ffffff" w:themeColor="accent6" w:fill="f79646" w:themeFill="accent6"/>
        <w:tcBorders/>
      </w:tcPr>
    </w:tblStylePr>
    <w:tblStylePr w:type="lastCol">
      <w:rPr>
        <w:rFonts w:ascii="Arial" w:hAnsi="Arial"/>
        <w:color w:val="f2f2f2"/>
        <w:sz w:val="22"/>
      </w:rPr>
      <w:pPr>
        <w:pBdr/>
        <w:spacing/>
        <w:ind/>
      </w:pPr>
      <w:tblPr>
        <w:tblBorders/>
      </w:tblPr>
      <w:tcPr>
        <w:shd w:val="clear" w:color="ffffff" w:themeColor="accent6" w:fill="f79646" w:themeFill="accent6"/>
        <w:tcBorders/>
      </w:tcPr>
    </w:tblStylePr>
    <w:tblStylePr w:type="lastRow">
      <w:rPr>
        <w:rFonts w:ascii="Arial" w:hAnsi="Arial"/>
        <w:color w:val="f2f2f2"/>
        <w:sz w:val="22"/>
      </w:rPr>
      <w:pPr>
        <w:pBdr/>
        <w:spacing/>
        <w:ind/>
      </w:pPr>
      <w:tblPr>
        <w:tblBorders/>
      </w:tblPr>
      <w:tcPr>
        <w:shd w:val="clear" w:color="ffffff" w:themeColor="accent6" w:fill="f79646"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1">
    <w:name w:val="Bordered"/>
    <w:basedOn w:val="743"/>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2">
    <w:name w:val="Bordered - Accent 1"/>
    <w:basedOn w:val="743"/>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3">
    <w:name w:val="Bordered - Accent 2"/>
    <w:basedOn w:val="743"/>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4">
    <w:name w:val="Bordered - Accent 3"/>
    <w:basedOn w:val="743"/>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5">
    <w:name w:val="Bordered - Accent 4"/>
    <w:basedOn w:val="743"/>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6">
    <w:name w:val="Bordered - Accent 5"/>
    <w:basedOn w:val="743"/>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7">
    <w:name w:val="Bordered - Accent 6"/>
    <w:basedOn w:val="743"/>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145">
    <w:name w:val="Heading 7"/>
    <w:basedOn w:val="735"/>
    <w:next w:val="735"/>
    <w:link w:val="156"/>
    <w:uiPriority w:val="9"/>
    <w:unhideWhenUsed/>
    <w:qFormat/>
    <w:pPr>
      <w:keepNext w:val="true"/>
      <w:keepLines w:val="true"/>
      <w:pBdr/>
      <w:spacing w:after="0" w:before="40"/>
      <w:ind/>
      <w:outlineLvl w:val="6"/>
    </w:pPr>
    <w:rPr>
      <w:rFonts w:ascii="Arial" w:hAnsi="Arial" w:eastAsia="Arial" w:cs="Arial"/>
      <w:color w:val="595959" w:themeColor="text1" w:themeTint="A6"/>
    </w:rPr>
  </w:style>
  <w:style w:type="paragraph" w:styleId="146">
    <w:name w:val="Heading 8"/>
    <w:basedOn w:val="735"/>
    <w:next w:val="735"/>
    <w:link w:val="157"/>
    <w:uiPriority w:val="9"/>
    <w:unhideWhenUsed/>
    <w:qFormat/>
    <w:pPr>
      <w:keepNext w:val="true"/>
      <w:keepLines w:val="true"/>
      <w:pBdr/>
      <w:spacing w:after="0"/>
      <w:ind/>
      <w:outlineLvl w:val="7"/>
    </w:pPr>
    <w:rPr>
      <w:rFonts w:ascii="Arial" w:hAnsi="Arial" w:eastAsia="Arial" w:cs="Arial"/>
      <w:i/>
      <w:iCs/>
      <w:color w:val="272727" w:themeColor="text1" w:themeTint="D8"/>
    </w:rPr>
  </w:style>
  <w:style w:type="paragraph" w:styleId="147">
    <w:name w:val="Heading 9"/>
    <w:basedOn w:val="735"/>
    <w:next w:val="735"/>
    <w:link w:val="158"/>
    <w:uiPriority w:val="9"/>
    <w:unhideWhenUsed/>
    <w:qFormat/>
    <w:pPr>
      <w:keepNext w:val="true"/>
      <w:keepLines w:val="true"/>
      <w:pBdr/>
      <w:spacing w:after="0"/>
      <w:ind/>
      <w:outlineLvl w:val="8"/>
    </w:pPr>
    <w:rPr>
      <w:rFonts w:ascii="Arial" w:hAnsi="Arial" w:eastAsia="Arial" w:cs="Arial"/>
      <w:i/>
      <w:iCs/>
      <w:color w:val="272727" w:themeColor="text1" w:themeTint="D8"/>
    </w:rPr>
  </w:style>
  <w:style w:type="character" w:styleId="150">
    <w:name w:val="Heading 1 Char"/>
    <w:basedOn w:val="742"/>
    <w:link w:val="736"/>
    <w:uiPriority w:val="9"/>
    <w:pPr>
      <w:pBdr/>
      <w:spacing/>
      <w:ind/>
    </w:pPr>
    <w:rPr>
      <w:rFonts w:ascii="Arial" w:hAnsi="Arial" w:eastAsia="Arial" w:cs="Arial"/>
      <w:color w:val="0f4761" w:themeColor="accent1" w:themeShade="BF"/>
      <w:sz w:val="40"/>
      <w:szCs w:val="40"/>
    </w:rPr>
  </w:style>
  <w:style w:type="character" w:styleId="151">
    <w:name w:val="Heading 2 Char"/>
    <w:basedOn w:val="742"/>
    <w:link w:val="737"/>
    <w:uiPriority w:val="9"/>
    <w:pPr>
      <w:pBdr/>
      <w:spacing/>
      <w:ind/>
    </w:pPr>
    <w:rPr>
      <w:rFonts w:ascii="Arial" w:hAnsi="Arial" w:eastAsia="Arial" w:cs="Arial"/>
      <w:color w:val="0f4761" w:themeColor="accent1" w:themeShade="BF"/>
      <w:sz w:val="32"/>
      <w:szCs w:val="32"/>
    </w:rPr>
  </w:style>
  <w:style w:type="character" w:styleId="152">
    <w:name w:val="Heading 3 Char"/>
    <w:basedOn w:val="742"/>
    <w:link w:val="738"/>
    <w:uiPriority w:val="9"/>
    <w:pPr>
      <w:pBdr/>
      <w:spacing/>
      <w:ind/>
    </w:pPr>
    <w:rPr>
      <w:rFonts w:ascii="Arial" w:hAnsi="Arial" w:eastAsia="Arial" w:cs="Arial"/>
      <w:color w:val="0f4761" w:themeColor="accent1" w:themeShade="BF"/>
      <w:sz w:val="28"/>
      <w:szCs w:val="28"/>
    </w:rPr>
  </w:style>
  <w:style w:type="character" w:styleId="153">
    <w:name w:val="Heading 4 Char"/>
    <w:basedOn w:val="742"/>
    <w:link w:val="739"/>
    <w:uiPriority w:val="9"/>
    <w:pPr>
      <w:pBdr/>
      <w:spacing/>
      <w:ind/>
    </w:pPr>
    <w:rPr>
      <w:rFonts w:ascii="Arial" w:hAnsi="Arial" w:eastAsia="Arial" w:cs="Arial"/>
      <w:i/>
      <w:iCs/>
      <w:color w:val="0f4761" w:themeColor="accent1" w:themeShade="BF"/>
    </w:rPr>
  </w:style>
  <w:style w:type="character" w:styleId="154">
    <w:name w:val="Heading 5 Char"/>
    <w:basedOn w:val="742"/>
    <w:link w:val="740"/>
    <w:uiPriority w:val="9"/>
    <w:pPr>
      <w:pBdr/>
      <w:spacing/>
      <w:ind/>
    </w:pPr>
    <w:rPr>
      <w:rFonts w:ascii="Arial" w:hAnsi="Arial" w:eastAsia="Arial" w:cs="Arial"/>
      <w:color w:val="0f4761" w:themeColor="accent1" w:themeShade="BF"/>
    </w:rPr>
  </w:style>
  <w:style w:type="character" w:styleId="155">
    <w:name w:val="Heading 6 Char"/>
    <w:basedOn w:val="742"/>
    <w:link w:val="741"/>
    <w:uiPriority w:val="9"/>
    <w:pPr>
      <w:pBdr/>
      <w:spacing/>
      <w:ind/>
    </w:pPr>
    <w:rPr>
      <w:rFonts w:ascii="Arial" w:hAnsi="Arial" w:eastAsia="Arial" w:cs="Arial"/>
      <w:i/>
      <w:iCs/>
      <w:color w:val="595959" w:themeColor="text1" w:themeTint="A6"/>
    </w:rPr>
  </w:style>
  <w:style w:type="character" w:styleId="156">
    <w:name w:val="Heading 7 Char"/>
    <w:basedOn w:val="742"/>
    <w:link w:val="145"/>
    <w:uiPriority w:val="9"/>
    <w:pPr>
      <w:pBdr/>
      <w:spacing/>
      <w:ind/>
    </w:pPr>
    <w:rPr>
      <w:rFonts w:ascii="Arial" w:hAnsi="Arial" w:eastAsia="Arial" w:cs="Arial"/>
      <w:color w:val="595959" w:themeColor="text1" w:themeTint="A6"/>
    </w:rPr>
  </w:style>
  <w:style w:type="character" w:styleId="157">
    <w:name w:val="Heading 8 Char"/>
    <w:basedOn w:val="742"/>
    <w:link w:val="146"/>
    <w:uiPriority w:val="9"/>
    <w:pPr>
      <w:pBdr/>
      <w:spacing/>
      <w:ind/>
    </w:pPr>
    <w:rPr>
      <w:rFonts w:ascii="Arial" w:hAnsi="Arial" w:eastAsia="Arial" w:cs="Arial"/>
      <w:i/>
      <w:iCs/>
      <w:color w:val="272727" w:themeColor="text1" w:themeTint="D8"/>
    </w:rPr>
  </w:style>
  <w:style w:type="character" w:styleId="158">
    <w:name w:val="Heading 9 Char"/>
    <w:basedOn w:val="742"/>
    <w:link w:val="147"/>
    <w:uiPriority w:val="9"/>
    <w:pPr>
      <w:pBdr/>
      <w:spacing/>
      <w:ind/>
    </w:pPr>
    <w:rPr>
      <w:rFonts w:ascii="Arial" w:hAnsi="Arial" w:eastAsia="Arial" w:cs="Arial"/>
      <w:i/>
      <w:iCs/>
      <w:color w:val="272727" w:themeColor="text1" w:themeTint="D8"/>
    </w:rPr>
  </w:style>
  <w:style w:type="character" w:styleId="160">
    <w:name w:val="Title Char"/>
    <w:basedOn w:val="742"/>
    <w:link w:val="745"/>
    <w:uiPriority w:val="10"/>
    <w:pPr>
      <w:pBdr/>
      <w:spacing/>
      <w:ind/>
    </w:pPr>
    <w:rPr>
      <w:rFonts w:ascii="Arial" w:hAnsi="Arial" w:eastAsia="Arial" w:cs="Arial"/>
      <w:spacing w:val="-10"/>
      <w:sz w:val="56"/>
      <w:szCs w:val="56"/>
    </w:rPr>
  </w:style>
  <w:style w:type="paragraph" w:styleId="163">
    <w:name w:val="Quote"/>
    <w:basedOn w:val="735"/>
    <w:next w:val="735"/>
    <w:link w:val="164"/>
    <w:uiPriority w:val="29"/>
    <w:qFormat/>
    <w:pPr>
      <w:pBdr/>
      <w:spacing w:before="160"/>
      <w:ind/>
      <w:jc w:val="center"/>
    </w:pPr>
    <w:rPr>
      <w:i/>
      <w:iCs/>
      <w:color w:val="404040" w:themeColor="text1" w:themeTint="BF"/>
    </w:rPr>
  </w:style>
  <w:style w:type="character" w:styleId="164">
    <w:name w:val="Quote Char"/>
    <w:basedOn w:val="742"/>
    <w:link w:val="163"/>
    <w:uiPriority w:val="29"/>
    <w:pPr>
      <w:pBdr/>
      <w:spacing/>
      <w:ind/>
    </w:pPr>
    <w:rPr>
      <w:i/>
      <w:iCs/>
      <w:color w:val="404040" w:themeColor="text1" w:themeTint="BF"/>
    </w:rPr>
  </w:style>
  <w:style w:type="character" w:styleId="166">
    <w:name w:val="Intense Emphasis"/>
    <w:basedOn w:val="742"/>
    <w:uiPriority w:val="21"/>
    <w:qFormat/>
    <w:pPr>
      <w:pBdr/>
      <w:spacing/>
      <w:ind/>
    </w:pPr>
    <w:rPr>
      <w:i/>
      <w:iCs/>
      <w:color w:val="0f4761" w:themeColor="accent1" w:themeShade="BF"/>
    </w:rPr>
  </w:style>
  <w:style w:type="character" w:styleId="169">
    <w:name w:val="Intense Reference"/>
    <w:basedOn w:val="742"/>
    <w:uiPriority w:val="32"/>
    <w:qFormat/>
    <w:pPr>
      <w:pBdr/>
      <w:spacing/>
      <w:ind/>
    </w:pPr>
    <w:rPr>
      <w:b/>
      <w:bCs/>
      <w:smallCaps/>
      <w:color w:val="0f4761" w:themeColor="accent1" w:themeShade="BF"/>
      <w:spacing w:val="5"/>
    </w:rPr>
  </w:style>
  <w:style w:type="paragraph" w:styleId="170">
    <w:name w:val="No Spacing"/>
    <w:basedOn w:val="735"/>
    <w:uiPriority w:val="1"/>
    <w:qFormat/>
    <w:pPr>
      <w:pBdr/>
      <w:spacing w:after="0" w:line="240" w:lineRule="auto"/>
      <w:ind/>
    </w:pPr>
  </w:style>
  <w:style w:type="character" w:styleId="171">
    <w:name w:val="Subtle Emphasis"/>
    <w:basedOn w:val="742"/>
    <w:uiPriority w:val="19"/>
    <w:qFormat/>
    <w:pPr>
      <w:pBdr/>
      <w:spacing/>
      <w:ind/>
    </w:pPr>
    <w:rPr>
      <w:i/>
      <w:iCs/>
      <w:color w:val="404040" w:themeColor="text1" w:themeTint="BF"/>
    </w:rPr>
  </w:style>
  <w:style w:type="character" w:styleId="172">
    <w:name w:val="Emphasis"/>
    <w:basedOn w:val="742"/>
    <w:uiPriority w:val="20"/>
    <w:qFormat/>
    <w:pPr>
      <w:pBdr/>
      <w:spacing/>
      <w:ind/>
    </w:pPr>
    <w:rPr>
      <w:i/>
      <w:iCs/>
    </w:rPr>
  </w:style>
  <w:style w:type="character" w:styleId="173">
    <w:name w:val="Strong"/>
    <w:basedOn w:val="742"/>
    <w:uiPriority w:val="22"/>
    <w:qFormat/>
    <w:pPr>
      <w:pBdr/>
      <w:spacing/>
      <w:ind/>
    </w:pPr>
    <w:rPr>
      <w:b/>
      <w:bCs/>
    </w:rPr>
  </w:style>
  <w:style w:type="character" w:styleId="174">
    <w:name w:val="Subtle Reference"/>
    <w:basedOn w:val="742"/>
    <w:uiPriority w:val="31"/>
    <w:qFormat/>
    <w:pPr>
      <w:pBdr/>
      <w:spacing/>
      <w:ind/>
    </w:pPr>
    <w:rPr>
      <w:smallCaps/>
      <w:color w:val="5a5a5a" w:themeColor="text1" w:themeTint="A5"/>
    </w:rPr>
  </w:style>
  <w:style w:type="character" w:styleId="175">
    <w:name w:val="Book Title"/>
    <w:basedOn w:val="742"/>
    <w:uiPriority w:val="33"/>
    <w:qFormat/>
    <w:pPr>
      <w:pBdr/>
      <w:spacing/>
      <w:ind/>
    </w:pPr>
    <w:rPr>
      <w:b/>
      <w:bCs/>
      <w:i/>
      <w:iCs/>
      <w:spacing w:val="5"/>
    </w:rPr>
  </w:style>
  <w:style w:type="paragraph" w:styleId="184">
    <w:name w:val="endnote text"/>
    <w:basedOn w:val="735"/>
    <w:link w:val="185"/>
    <w:uiPriority w:val="99"/>
    <w:semiHidden/>
    <w:unhideWhenUsed/>
    <w:pPr>
      <w:pBdr/>
      <w:spacing w:after="0" w:line="240" w:lineRule="auto"/>
      <w:ind/>
    </w:pPr>
    <w:rPr>
      <w:sz w:val="20"/>
      <w:szCs w:val="20"/>
    </w:rPr>
  </w:style>
  <w:style w:type="character" w:styleId="185">
    <w:name w:val="Endnote Text Char"/>
    <w:basedOn w:val="742"/>
    <w:link w:val="184"/>
    <w:uiPriority w:val="99"/>
    <w:semiHidden/>
    <w:pPr>
      <w:pBdr/>
      <w:spacing/>
      <w:ind/>
    </w:pPr>
    <w:rPr>
      <w:sz w:val="20"/>
      <w:szCs w:val="20"/>
    </w:rPr>
  </w:style>
  <w:style w:type="character" w:styleId="186">
    <w:name w:val="endnote reference"/>
    <w:basedOn w:val="742"/>
    <w:uiPriority w:val="99"/>
    <w:semiHidden/>
    <w:unhideWhenUsed/>
    <w:pPr>
      <w:pBdr/>
      <w:spacing/>
      <w:ind/>
    </w:pPr>
    <w:rPr>
      <w:vertAlign w:val="superscript"/>
    </w:rPr>
  </w:style>
  <w:style w:type="character" w:styleId="188">
    <w:name w:val="FollowedHyperlink"/>
    <w:basedOn w:val="742"/>
    <w:uiPriority w:val="99"/>
    <w:semiHidden/>
    <w:unhideWhenUsed/>
    <w:pPr>
      <w:pBdr/>
      <w:spacing/>
      <w:ind/>
    </w:pPr>
    <w:rPr>
      <w:color w:val="954f72" w:themeColor="followedHyperlink"/>
      <w:u w:val="single"/>
    </w:rPr>
  </w:style>
  <w:style w:type="paragraph" w:styleId="189">
    <w:name w:val="toc 1"/>
    <w:basedOn w:val="735"/>
    <w:next w:val="735"/>
    <w:uiPriority w:val="39"/>
    <w:unhideWhenUsed/>
    <w:pPr>
      <w:pBdr/>
      <w:spacing w:after="100"/>
      <w:ind/>
    </w:pPr>
  </w:style>
  <w:style w:type="paragraph" w:styleId="190">
    <w:name w:val="toc 2"/>
    <w:basedOn w:val="735"/>
    <w:next w:val="735"/>
    <w:uiPriority w:val="39"/>
    <w:unhideWhenUsed/>
    <w:pPr>
      <w:pBdr/>
      <w:spacing w:after="100"/>
      <w:ind w:left="220"/>
    </w:pPr>
  </w:style>
  <w:style w:type="paragraph" w:styleId="191">
    <w:name w:val="toc 3"/>
    <w:basedOn w:val="735"/>
    <w:next w:val="735"/>
    <w:uiPriority w:val="39"/>
    <w:unhideWhenUsed/>
    <w:pPr>
      <w:pBdr/>
      <w:spacing w:after="100"/>
      <w:ind w:left="440"/>
    </w:pPr>
  </w:style>
  <w:style w:type="paragraph" w:styleId="192">
    <w:name w:val="toc 4"/>
    <w:basedOn w:val="735"/>
    <w:next w:val="735"/>
    <w:uiPriority w:val="39"/>
    <w:unhideWhenUsed/>
    <w:pPr>
      <w:pBdr/>
      <w:spacing w:after="100"/>
      <w:ind w:left="660"/>
    </w:pPr>
  </w:style>
  <w:style w:type="paragraph" w:styleId="193">
    <w:name w:val="toc 5"/>
    <w:basedOn w:val="735"/>
    <w:next w:val="735"/>
    <w:uiPriority w:val="39"/>
    <w:unhideWhenUsed/>
    <w:pPr>
      <w:pBdr/>
      <w:spacing w:after="100"/>
      <w:ind w:left="880"/>
    </w:pPr>
  </w:style>
  <w:style w:type="paragraph" w:styleId="194">
    <w:name w:val="toc 6"/>
    <w:basedOn w:val="735"/>
    <w:next w:val="735"/>
    <w:uiPriority w:val="39"/>
    <w:unhideWhenUsed/>
    <w:pPr>
      <w:pBdr/>
      <w:spacing w:after="100"/>
      <w:ind w:left="1100"/>
    </w:pPr>
  </w:style>
  <w:style w:type="paragraph" w:styleId="195">
    <w:name w:val="toc 7"/>
    <w:basedOn w:val="735"/>
    <w:next w:val="735"/>
    <w:uiPriority w:val="39"/>
    <w:unhideWhenUsed/>
    <w:pPr>
      <w:pBdr/>
      <w:spacing w:after="100"/>
      <w:ind w:left="1320"/>
    </w:pPr>
  </w:style>
  <w:style w:type="paragraph" w:styleId="196">
    <w:name w:val="toc 8"/>
    <w:basedOn w:val="735"/>
    <w:next w:val="735"/>
    <w:uiPriority w:val="39"/>
    <w:unhideWhenUsed/>
    <w:pPr>
      <w:pBdr/>
      <w:spacing w:after="100"/>
      <w:ind w:left="1540"/>
    </w:pPr>
  </w:style>
  <w:style w:type="paragraph" w:styleId="197">
    <w:name w:val="toc 9"/>
    <w:basedOn w:val="735"/>
    <w:next w:val="735"/>
    <w:uiPriority w:val="39"/>
    <w:unhideWhenUsed/>
    <w:pPr>
      <w:pBdr/>
      <w:spacing w:after="100"/>
      <w:ind w:left="1760"/>
    </w:pPr>
  </w:style>
  <w:style w:type="character" w:styleId="198">
    <w:name w:val="Placeholder Text"/>
    <w:basedOn w:val="742"/>
    <w:uiPriority w:val="99"/>
    <w:semiHidden/>
    <w:pPr>
      <w:pBdr/>
      <w:spacing/>
      <w:ind/>
    </w:pPr>
    <w:rPr>
      <w:color w:val="666666"/>
    </w:rPr>
  </w:style>
  <w:style w:type="paragraph" w:styleId="208">
    <w:name w:val="TOC Heading"/>
    <w:uiPriority w:val="39"/>
    <w:unhideWhenUsed/>
    <w:pPr>
      <w:pBdr/>
      <w:spacing/>
      <w:ind/>
    </w:pPr>
  </w:style>
  <w:style w:type="paragraph" w:styleId="209">
    <w:name w:val="table of figures"/>
    <w:basedOn w:val="735"/>
    <w:next w:val="735"/>
    <w:uiPriority w:val="99"/>
    <w:unhideWhenUsed/>
    <w:pPr>
      <w:pBdr/>
      <w:spacing w:after="0" w:afterAutospacing="0"/>
      <w:ind/>
    </w:pPr>
  </w:style>
  <w:style w:type="paragraph" w:styleId="735" w:default="1">
    <w:name w:val="Normal"/>
    <w:qFormat/>
    <w:pPr>
      <w:pBdr/>
      <w:spacing w:after="240" w:before="240"/>
      <w:ind/>
      <w:jc w:val="both"/>
    </w:pPr>
  </w:style>
  <w:style w:type="paragraph" w:styleId="736">
    <w:name w:val="Heading 1"/>
    <w:uiPriority w:val="9"/>
    <w:qFormat/>
    <w:pPr>
      <w:pBdr/>
      <w:spacing w:line="360" w:lineRule="auto"/>
      <w:ind/>
      <w:outlineLvl w:val="0"/>
    </w:pPr>
    <w:rPr>
      <w:rFonts w:asciiTheme="minorHAnsi" w:hAnsiTheme="minorHAnsi"/>
      <w:color w:val="000000" w:themeColor="text1"/>
      <w:sz w:val="32"/>
      <w:szCs w:val="32"/>
    </w:rPr>
  </w:style>
  <w:style w:type="paragraph" w:styleId="737">
    <w:name w:val="Heading 2"/>
    <w:uiPriority w:val="9"/>
    <w:unhideWhenUsed/>
    <w:qFormat/>
    <w:pPr>
      <w:pBdr/>
      <w:spacing/>
      <w:ind/>
      <w:outlineLvl w:val="1"/>
    </w:pPr>
    <w:rPr>
      <w:rFonts w:asciiTheme="minorHAnsi" w:hAnsiTheme="minorHAnsi"/>
      <w:color w:val="2e74b5"/>
      <w:sz w:val="26"/>
      <w:szCs w:val="26"/>
    </w:rPr>
  </w:style>
  <w:style w:type="paragraph" w:styleId="738">
    <w:name w:val="Heading 3"/>
    <w:uiPriority w:val="9"/>
    <w:unhideWhenUsed/>
    <w:qFormat/>
    <w:pPr>
      <w:pBdr/>
      <w:spacing/>
      <w:ind/>
      <w:outlineLvl w:val="2"/>
    </w:pPr>
    <w:rPr>
      <w:rFonts w:asciiTheme="minorHAnsi" w:hAnsiTheme="minorHAnsi"/>
      <w:color w:val="1f4d78"/>
      <w:sz w:val="24"/>
      <w:szCs w:val="24"/>
    </w:rPr>
  </w:style>
  <w:style w:type="paragraph" w:styleId="739">
    <w:name w:val="Heading 4"/>
    <w:uiPriority w:val="9"/>
    <w:semiHidden/>
    <w:unhideWhenUsed/>
    <w:qFormat/>
    <w:pPr>
      <w:pBdr/>
      <w:spacing/>
      <w:ind/>
      <w:outlineLvl w:val="3"/>
    </w:pPr>
    <w:rPr>
      <w:i/>
      <w:iCs/>
      <w:color w:val="2e74b5"/>
    </w:rPr>
  </w:style>
  <w:style w:type="paragraph" w:styleId="740">
    <w:name w:val="Heading 5"/>
    <w:uiPriority w:val="9"/>
    <w:semiHidden/>
    <w:unhideWhenUsed/>
    <w:qFormat/>
    <w:pPr>
      <w:pBdr/>
      <w:spacing/>
      <w:ind/>
      <w:outlineLvl w:val="4"/>
    </w:pPr>
    <w:rPr>
      <w:color w:val="2e74b5"/>
    </w:rPr>
  </w:style>
  <w:style w:type="paragraph" w:styleId="741">
    <w:name w:val="Heading 6"/>
    <w:uiPriority w:val="9"/>
    <w:semiHidden/>
    <w:unhideWhenUsed/>
    <w:qFormat/>
    <w:pPr>
      <w:pBdr/>
      <w:spacing/>
      <w:ind/>
      <w:outlineLvl w:val="5"/>
    </w:pPr>
    <w:rPr>
      <w:color w:val="1f4d78"/>
    </w:rPr>
  </w:style>
  <w:style w:type="character" w:styleId="742" w:default="1">
    <w:name w:val="Default Paragraph Font"/>
    <w:uiPriority w:val="1"/>
    <w:semiHidden/>
    <w:unhideWhenUsed/>
    <w:pPr>
      <w:pBdr/>
      <w:spacing/>
      <w:ind/>
    </w:pPr>
  </w:style>
  <w:style w:type="table" w:styleId="743"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numbering" w:styleId="744" w:default="1">
    <w:name w:val="No List"/>
    <w:uiPriority w:val="99"/>
    <w:semiHidden/>
    <w:unhideWhenUsed/>
    <w:pPr>
      <w:pBdr/>
      <w:spacing/>
      <w:ind/>
    </w:pPr>
  </w:style>
  <w:style w:type="paragraph" w:styleId="745">
    <w:name w:val="Title"/>
    <w:uiPriority w:val="10"/>
    <w:qFormat/>
    <w:pPr>
      <w:pBdr/>
      <w:spacing/>
      <w:ind/>
    </w:pPr>
    <w:rPr>
      <w:sz w:val="56"/>
      <w:szCs w:val="56"/>
    </w:rPr>
  </w:style>
  <w:style w:type="paragraph" w:styleId="746" w:customStyle="1">
    <w:name w:val="Strong1"/>
    <w:qFormat/>
    <w:pPr>
      <w:pBdr/>
      <w:spacing/>
      <w:ind/>
    </w:pPr>
    <w:rPr>
      <w:b/>
      <w:bCs/>
    </w:rPr>
  </w:style>
  <w:style w:type="paragraph" w:styleId="747">
    <w:name w:val="List Paragraph"/>
    <w:qFormat/>
    <w:pPr>
      <w:pBdr/>
      <w:spacing/>
      <w:ind/>
    </w:pPr>
  </w:style>
  <w:style w:type="character" w:styleId="748">
    <w:name w:val="Hyperlink"/>
    <w:uiPriority w:val="99"/>
    <w:unhideWhenUsed/>
    <w:pPr>
      <w:pBdr/>
      <w:spacing/>
      <w:ind/>
    </w:pPr>
    <w:rPr>
      <w:color w:val="0563c1"/>
      <w:u w:val="single"/>
    </w:rPr>
  </w:style>
  <w:style w:type="character" w:styleId="749">
    <w:name w:val="footnote reference"/>
    <w:uiPriority w:val="99"/>
    <w:semiHidden/>
    <w:unhideWhenUsed/>
    <w:pPr>
      <w:pBdr/>
      <w:spacing/>
      <w:ind/>
    </w:pPr>
    <w:rPr>
      <w:vertAlign w:val="superscript"/>
    </w:rPr>
  </w:style>
  <w:style w:type="paragraph" w:styleId="750">
    <w:name w:val="footnote text"/>
    <w:link w:val="751"/>
    <w:uiPriority w:val="99"/>
    <w:semiHidden/>
    <w:unhideWhenUsed/>
    <w:pPr>
      <w:pBdr/>
      <w:spacing/>
      <w:ind/>
    </w:pPr>
  </w:style>
  <w:style w:type="character" w:styleId="751" w:customStyle="1">
    <w:name w:val="Footnote Text Char"/>
    <w:link w:val="750"/>
    <w:uiPriority w:val="99"/>
    <w:semiHidden/>
    <w:unhideWhenUsed/>
    <w:pPr>
      <w:pBdr/>
      <w:spacing/>
      <w:ind/>
    </w:pPr>
    <w:rPr>
      <w:sz w:val="20"/>
      <w:szCs w:val="20"/>
    </w:rPr>
  </w:style>
  <w:style w:type="paragraph" w:styleId="752">
    <w:name w:val="Header"/>
    <w:basedOn w:val="735"/>
    <w:link w:val="753"/>
    <w:uiPriority w:val="99"/>
    <w:unhideWhenUsed/>
    <w:pPr>
      <w:pBdr/>
      <w:tabs>
        <w:tab w:val="center" w:leader="none" w:pos="4680"/>
        <w:tab w:val="right" w:leader="none" w:pos="9360"/>
      </w:tabs>
      <w:spacing/>
      <w:ind/>
    </w:pPr>
  </w:style>
  <w:style w:type="character" w:styleId="753" w:customStyle="1">
    <w:name w:val="Header Char"/>
    <w:basedOn w:val="742"/>
    <w:link w:val="752"/>
    <w:uiPriority w:val="99"/>
    <w:pPr>
      <w:pBdr/>
      <w:spacing/>
      <w:ind/>
    </w:pPr>
  </w:style>
  <w:style w:type="paragraph" w:styleId="754">
    <w:name w:val="Footer"/>
    <w:basedOn w:val="735"/>
    <w:link w:val="755"/>
    <w:uiPriority w:val="99"/>
    <w:unhideWhenUsed/>
    <w:pPr>
      <w:pBdr/>
      <w:tabs>
        <w:tab w:val="center" w:leader="none" w:pos="4680"/>
        <w:tab w:val="right" w:leader="none" w:pos="9360"/>
      </w:tabs>
      <w:spacing/>
      <w:ind/>
    </w:pPr>
  </w:style>
  <w:style w:type="character" w:styleId="755" w:customStyle="1">
    <w:name w:val="Footer Char"/>
    <w:basedOn w:val="742"/>
    <w:link w:val="754"/>
    <w:uiPriority w:val="99"/>
    <w:pPr>
      <w:pBdr/>
      <w:spacing/>
      <w:ind/>
    </w:pPr>
  </w:style>
  <w:style w:type="paragraph" w:styleId="756">
    <w:name w:val="Subtitle"/>
    <w:basedOn w:val="735"/>
    <w:next w:val="735"/>
    <w:link w:val="757"/>
    <w:uiPriority w:val="11"/>
    <w:qFormat/>
    <w:pPr>
      <w:numPr>
        <w:ilvl w:val="1"/>
      </w:numPr>
      <w:pBdr/>
      <w:spacing w:after="0" w:before="0" w:line="480" w:lineRule="auto"/>
      <w:ind/>
      <w:jc w:val="left"/>
    </w:pPr>
    <w:rPr>
      <w:rFonts w:asciiTheme="minorHAnsi" w:hAnsiTheme="minorHAnsi" w:eastAsiaTheme="minorEastAsia" w:cstheme="minorBidi"/>
      <w:color w:val="767171" w:themeColor="background2" w:themeShade="80"/>
      <w:spacing w:val="15"/>
      <w:szCs w:val="22"/>
    </w:rPr>
  </w:style>
  <w:style w:type="character" w:styleId="757" w:customStyle="1">
    <w:name w:val="Subtitle Char"/>
    <w:basedOn w:val="742"/>
    <w:link w:val="756"/>
    <w:uiPriority w:val="11"/>
    <w:pPr>
      <w:pBdr/>
      <w:spacing/>
      <w:ind/>
    </w:pPr>
    <w:rPr>
      <w:rFonts w:asciiTheme="minorHAnsi" w:hAnsiTheme="minorHAnsi" w:eastAsiaTheme="minorEastAsia" w:cstheme="minorBidi"/>
      <w:color w:val="767171" w:themeColor="background2" w:themeShade="80"/>
      <w:spacing w:val="15"/>
      <w:szCs w:val="22"/>
    </w:rPr>
  </w:style>
  <w:style w:type="paragraph" w:styleId="758">
    <w:name w:val="Intense Quote"/>
    <w:basedOn w:val="735"/>
    <w:next w:val="735"/>
    <w:link w:val="759"/>
    <w:uiPriority w:val="30"/>
    <w:qFormat/>
    <w:pPr>
      <w:pBdr>
        <w:top w:val="single" w:color="4472c4" w:themeColor="accent1" w:sz="4" w:space="10"/>
        <w:bottom w:val="single" w:color="4472c4" w:themeColor="accent1" w:sz="4" w:space="10"/>
      </w:pBdr>
      <w:spacing w:after="360" w:before="360" w:line="360" w:lineRule="auto"/>
      <w:ind w:right="864" w:left="864"/>
      <w:jc w:val="center"/>
    </w:pPr>
    <w:rPr>
      <w:i/>
      <w:iCs/>
      <w:color w:val="4472c4" w:themeColor="accent1"/>
    </w:rPr>
  </w:style>
  <w:style w:type="character" w:styleId="759" w:customStyle="1">
    <w:name w:val="Intense Quote Char"/>
    <w:basedOn w:val="742"/>
    <w:link w:val="758"/>
    <w:uiPriority w:val="30"/>
    <w:pPr>
      <w:pBdr/>
      <w:spacing/>
      <w:ind/>
    </w:pPr>
    <w:rPr>
      <w:i/>
      <w:iCs/>
      <w:color w:val="4472c4" w:themeColor="accent1"/>
    </w:rPr>
  </w:style>
  <w:style w:type="paragraph" w:styleId="760">
    <w:name w:val="Caption"/>
    <w:basedOn w:val="735"/>
    <w:next w:val="735"/>
    <w:uiPriority w:val="35"/>
    <w:unhideWhenUsed/>
    <w:qFormat/>
    <w:pPr>
      <w:pBdr/>
      <w:spacing w:after="200" w:before="0"/>
      <w:ind w:right="521" w:left="567"/>
      <w:jc w:val="left"/>
    </w:pPr>
    <w:rPr>
      <w:color w:val="44546a" w:themeColor="text2"/>
      <w:sz w:val="18"/>
      <w:szCs w:val="18"/>
    </w:r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numbering" Target="numbering.xml" /><Relationship Id="rId7" Type="http://schemas.openxmlformats.org/officeDocument/2006/relationships/footnotes" Target="footnotes.xml" /><Relationship Id="rId8" Type="http://schemas.openxmlformats.org/officeDocument/2006/relationships/endnotes" Target="endnotes.xml" /><Relationship Id="rId9" Type="http://schemas.openxmlformats.org/officeDocument/2006/relationships/footer" Target="footer1.xml" /><Relationship Id="rId10" Type="http://schemas.openxmlformats.org/officeDocument/2006/relationships/hyperlink" Target="https://calmatters.org/commentary/2025/12/biomass-california-energy-wildfire-problems/" TargetMode="External"/><Relationship Id="rId11" Type="http://schemas.openxmlformats.org/officeDocument/2006/relationships/image" Target="media/image2.png"/><Relationship Id="rId12" Type="http://schemas.openxmlformats.org/officeDocument/2006/relationships/hyperlink" Target="https://calmatters.org/commentary/2022/11/wildfire-prevention-biomass-climate-forest" TargetMode="External"/><Relationship Id="rId13" Type="http://schemas.openxmlformats.org/officeDocument/2006/relationships/hyperlink" Target="https://calmatters.org/commentary/reader-reactions/2025/12/hazardous-forest-waste-wildfire-california/" TargetMode="External"/><Relationship Id="rId14" Type="http://schemas.openxmlformats.org/officeDocument/2006/relationships/image" Target="media/image3.png"/><Relationship Id="rId15" Type="http://schemas.openxmlformats.org/officeDocument/2006/relationships/hyperlink" Target="http://3point.xyz" TargetMode="External"/></Relationships>
</file>

<file path=word/_rels/endnotes.xml.rels><?xml version="1.0" encoding="UTF-8" standalone="yes"?><Relationships xmlns="http://schemas.openxmlformats.org/package/2006/relationships"></Relationships>
</file>

<file path=word/_rels/footer1.xml.rels><?xml version="1.0" encoding="UTF-8" standalone="yes"?><Relationships xmlns="http://schemas.openxmlformats.org/package/2006/relationships"><Relationship Id="rId1" Type="http://schemas.openxmlformats.org/officeDocument/2006/relationships/image" Target="media/image1.png"/></Relationships>
</file>

<file path=word/_rels/footnotes.xml.rels><?xml version="1.0" encoding="UTF-8" standalone="yes"?><Relationships xmlns="http://schemas.openxmlformats.org/package/2006/relationships"></Relationships>
</file>

<file path=word/theme/theme1.xml><?xml version="1.0" encoding="utf-8"?>
<a:theme xmlns:a="http://schemas.openxmlformats.org/drawingml/2006/main" xmlns:r="http://schemas.openxmlformats.org/officeDocument/2006/relationships" xmlns:p="http://schemas.openxmlformats.org/presentationml/2006/main" name="">
  <a:themeElements>
    <a:clrScheme nam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
      <a:majorFont>
        <a:latin typeface="Arial"/>
        <a:ea typeface="Arial"/>
        <a:cs typeface="Arial"/>
      </a:majorFont>
      <a:minorFont>
        <a:latin typeface="Arial"/>
        <a:ea typeface="Arial"/>
        <a:cs typeface="Arial"/>
      </a:minorFont>
    </a:fontScheme>
    <a:fmtScheme name="">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a:solidFill>
            <a:schemeClr val="phClr">
              <a:shade val="95000"/>
              <a:satMod val="105000"/>
            </a:schemeClr>
          </a:solidFill>
        </a:ln>
        <a:ln w="25400">
          <a:solidFill>
            <a:schemeClr val="phClr"/>
          </a:solidFill>
        </a:ln>
        <a:ln w="38100">
          <a:solidFill>
            <a:schemeClr val="phClr"/>
          </a:solidFill>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rgbClr val="000000"/>
        </a:solidFill>
        <a:solidFill>
          <a:srgbClr val="000000"/>
        </a:solidFill>
      </a:bgFillStyleLst>
    </a:fmtScheme>
  </a:themeElements>
  <a:objectDefaults/>
</a:theme>
</file>

<file path=docProps/app.xml><?xml version="1.0" encoding="utf-8"?>
<Properties xmlns="http://schemas.openxmlformats.org/officeDocument/2006/extended-properties" xmlns:vt="http://schemas.openxmlformats.org/officeDocument/2006/docPropsVTypes">
  <Application>ONLYOFFICE/9.2.1.43</Application>
  <HeadingPairs>
    <vt:vector size="0" baseType="variant"/>
  </HeadingPairs>
  <TitlesOfParts>
    <vt:vector size="0" baseType="lpstr"/>
  </TitlesOfPart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Forest Biomass Solutions</dc:title>
  <dc:creator>Un-named</dc:creator>
  <cp:keywords>b, i, o, m, a, s, ,,  , f, r, e, t, h, l, c</cp:keywords>
  <cp:revision>2</cp:revision>
  <dcterms:created xsi:type="dcterms:W3CDTF">2026-01-21T10:56:04Z</dcterms:created>
  <dcterms:modified xsi:type="dcterms:W3CDTF">2026-01-21T11:00:01Z</dcterms:modified>
</cp:coreProperties>
</file>