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Donut hole as landscape resilience 🔥</w:t>
      </w:r>
    </w:p>
    <w:p>
      <w:pPr>
        <w:pStyle w:val="Heading4"/>
      </w:pPr>
      <w:r>
        <w:t xml:space="preserve">Vance Russell, Joshua Harrison</w:t>
      </w:r>
    </w:p>
    <w:p>
      <w:pPr>
        <w:pStyle w:val="Heading2"/>
      </w:pPr>
      <w:r>
        <w:t xml:space="preserve">Take-aways</w:t>
      </w:r>
    </w:p>
    <w:p>
      <w:r>
        <w:rPr>
          <w:b/>
          <w:bCs/>
        </w:rPr>
        <w:t xml:space="preserve">1. Overlap</w:t>
      </w:r>
      <w:r>
        <w:t xml:space="preserve">. The overlap between high crown fire probability and feasible mechanical treatment is low. For instance in the four county Central Sierra, these areas only overlap by 8%. While that’s not great for mitigating fire, it could just mean that the most vulnerable areas aren’t accessible for mechanical thinning and restoration efforts should be directed to easy to access places that prevent fire from running to higher probability areas.</w:t>
      </w:r>
    </w:p>
    <w:p>
      <w:r>
        <w:rPr>
          <w:b/>
          <w:bCs/>
        </w:rPr>
        <w:t xml:space="preserve">2. Resilience</w:t>
      </w:r>
      <w:r>
        <w:t xml:space="preserve">. It’s unclear whether or not the donut hole areas are more resilient, haven’t burned due to biotic or abiotic factors, but they do point to places where a large fire may yet occur and therefore need some attention.</w:t>
      </w:r>
    </w:p>
    <w:p>
      <w:r>
        <w:rPr>
          <w:b/>
          <w:bCs/>
        </w:rPr>
        <w:t xml:space="preserve">3. Priotization</w:t>
      </w:r>
      <w:r>
        <w:t xml:space="preserve">. Using crown fire probability and recent fire history may help prioritize where future mechanical thinning and prescribed fire forest health projects could be prioritized.</w:t>
      </w:r>
    </w:p>
    <w:p>
      <w:pPr>
        <w:pStyle w:val="Heading2"/>
      </w:pPr>
      <w:r>
        <w:t xml:space="preserve">Background</w:t>
      </w:r>
    </w:p>
    <w:p>
      <w:pPr>
        <w:pStyle w:val="IntenseQuote"/>
      </w:pPr>
      <w:r>
        <w:t xml:space="preserve">"Nevada County [is] the next [big fire]. Everybody in wildland fire knows it. The ingress, egress, how many trees are in that area. I don’t want to be there...I know people are going to die in that area. Bill Jacks </w:t>
      </w:r>
      <w:r>
        <w:t xml:space="preserve">(</w:t>
      </w:r>
      <w:r>
        <w:t xml:space="preserve">WRCNC, 2026</w:t>
      </w:r>
      <w:r>
        <w:t xml:space="preserve">)</w:t>
      </w:r>
    </w:p>
    <w:p>
      <w:r>
        <w:t xml:space="preserve">This is the 2nd of two articles examining vulnerability and resilience across California firescapes. The first </w:t>
      </w:r>
      <w:hyperlink w:history="1" r:id="rId0hcykkdorjm1hycj76k4o">
        <w:r>
          <w:rPr>
            <w:rStyle w:val="Hyperlink"/>
          </w:rPr>
          <w:t xml:space="preserve">Predicting 2026 Wildfires</w:t>
        </w:r>
      </w:hyperlink>
      <w:r>
        <w:t xml:space="preserve"> explored the potential fire vulnerability of two locations in the Sierra-Cascade region of California. This article explores more of the ‘why’ behind why large fires have not taken place recently in those regions and whether or not it may be due to dumb luck, or, more likely, abiotic and biotic factors.</w:t>
      </w:r>
    </w:p>
    <w:p>
      <w:r>
        <w:t xml:space="preserve">Our main aim was to identify where intervention matters most rather than just reiterating that fire risk is high everywhere.</w:t>
      </w:r>
    </w:p>
    <w:p>
      <w:pPr>
        <w:pStyle w:val="Heading3"/>
      </w:pPr>
      <w:r>
        <w:t xml:space="preserve">Methodology</w:t>
      </w:r>
    </w:p>
    <w:p>
      <w:r>
        <w:t xml:space="preserve">The Shasta-Trinity region did not have a mechanical treatment feasibility dataset, so we developed one using the methodology developed by </w:t>
      </w:r>
      <w:r>
        <w:t xml:space="preserve">Tukman (2022)</w:t>
      </w:r>
      <w:r>
        <w:t xml:space="preserve">. Data sources differed slightly where slope came from USGS 3DEP, and treatable vegetation from Landfire’s existing vegetation type. Data was processed using a combination of python scripts and tools from QGIS and ArcGIS Pro.</w:t>
      </w:r>
    </w:p>
    <w:p>
      <w:r>
        <w:t xml:space="preserve">The methodology feels more like this: historical fire absence plus crown-fire probability plus treatment context equals areas potentially vulnerable to severe fire under current conditions.</w:t>
      </w:r>
    </w:p>
    <w:p>
      <w:pPr>
        <w:pStyle w:val="Heading2"/>
      </w:pPr>
      <w:r>
        <w:t xml:space="preserve">Donut holes &amp; resilience</w:t>
      </w:r>
    </w:p>
    <w:p>
      <w:r>
        <w:t xml:space="preserve">The “donut hole” pattern in the Sierra/Nevada region is especially useful because it raises the question of whether some landscapes are functionally more resilient or just overdue for a major fire. Your point about the fragmented treatment of private parcels in the WUI is important; there is a real herd immunity metaphor in fire hardening that we need to consider. Shift from generalized narratives about “bad fire years” to identifying specific areas of vulnerability through the overlap of fire history gaps and crown-fire probability.</w:t>
      </w:r>
    </w:p>
    <w:p>
      <w:pPr>
        <w:pStyle w:val="Heading3"/>
      </w:pPr>
      <w:r>
        <w:t xml:space="preserve">Avoided costs</w:t>
      </w:r>
    </w:p>
    <w:p>
      <w:r>
        <w:t xml:space="preserve">The 2014 Mokelumne Watershed Avoided Cost Analysis,suggested that treatment doesn’t have to occur uniformly to provide benefits across larger areas </w:t>
      </w:r>
      <w:r>
        <w:t xml:space="preserve">(</w:t>
      </w:r>
      <w:r>
        <w:t xml:space="preserve">Buckley </w:t>
      </w:r>
      <w:r>
        <w:rPr>
          <w:i/>
          <w:iCs/>
        </w:rPr>
        <w:t xml:space="preserve">et al.</w:t>
      </w:r>
      <w:r>
        <w:t xml:space="preserve">, 2014</w:t>
      </w:r>
      <w:r>
        <w:t xml:space="preserve">)</w:t>
      </w:r>
      <w:r>
        <w:t xml:space="preserve">. The study modeled that about 30% treatment in strategically connected areas can significantly change fire behavior in larger watershed systems.</w:t>
      </w:r>
    </w:p>
    <w:p>
      <w:r>
        <w:t xml:space="preserve">What stands out is not just the specific number but the broader implications for systems. The research suggests a kind of resilience in ecological networks, where treating the right areas can influence fire behavior across wider landscapes. The metaphor of herd immunity is useful here, not as a direct comparison, but as a way to think about planning. If enough of a landscape is treated and cared for, the likelihood of severe crown fires may decrease, even if not every acre gets treated.</w:t>
      </w:r>
    </w:p>
    <w:p>
      <w:r>
        <w:t xml:space="preserve">This perspective also connects to cultural burning and long-term stewardship. Mechanical thinning is likely best seen as a transitional step to restore forests to their natural capacity after a century of fire suppression. Over time, prescribed fire and especially cultural burning can become the lasting maintenance approach that restores the varied landscapes that historically limited fire intensity and spread.</w:t>
      </w:r>
    </w:p>
    <w:p>
      <w:r>
        <w:t xml:space="preserve">This same systems thinking applies to communities as well. Forest care and home hardening should be seen as complementary elements of resilience, not separate policies. A treated forest around vulnerable communities reacts differently than one that is untreated, just as hardened homes and defensible space perform differently in areas experiencing lower-intensity fires. The interaction between these elements may be as important as any individual intervention.</w:t>
      </w:r>
    </w:p>
    <w:p>
      <w:pPr>
        <w:pStyle w:val="Heading3"/>
      </w:pPr>
      <w:r>
        <w:t xml:space="preserve">Biomass and fire</w:t>
      </w:r>
    </w:p>
    <w:p>
      <w:r>
        <w:t xml:space="preserve">We calculated the percent overlap between crown fire probability </w:t>
      </w:r>
      <w:r>
        <w:t xml:space="preserve">(</w:t>
      </w:r>
      <w:r>
        <w:t xml:space="preserve">Pyrologix, 2025</w:t>
      </w:r>
      <w:r>
        <w:t xml:space="preserve">)</w:t>
      </w:r>
      <w:r>
        <w:t xml:space="preserve"> and mechanical treament feasibility for the four county Central Sierra region </w:t>
      </w:r>
      <w:r>
        <w:t xml:space="preserve">(</w:t>
      </w:r>
      <w:r>
        <w:t xml:space="preserve">USFS, 2016</w:t>
      </w:r>
      <w:r>
        <w:t xml:space="preserve">)</w:t>
      </w:r>
      <w:r>
        <w:t xml:space="preserve"> where the treatment feasibility is &lt;35% slopes and within 1000’ (just over 300m) of existing roads </w:t>
      </w:r>
      <w:r>
        <w:t xml:space="preserve">Figure </w:t>
      </w:r>
      <w:r>
        <w:t xml:space="preserve">1</w:t>
      </w:r>
      <w:r>
        <w:t xml:space="preserve">. We did not examine this for the Shasta-Trinity county region since a treatment feasibility data layer does not yet exist.</w:t>
      </w:r>
    </w:p>
    <w:p>
      <w:pPr>
        <w:jc w:val="center"/>
      </w:pPr>
      <w:r>
        <w:drawing>
          <wp:inline distT="0" distB="0" distL="0" distR="0">
            <wp:extent cx="4000500" cy="4000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000500"/>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Crown fire probability vs. mechanical treatment feasibility (&lt;35% slopes and within 1000’,just over 300m, of existing roads&gt;). The calculated overlap between the two datasets is 8%.</w:t>
      </w:r>
    </w:p>
    <w:p>
      <w:r>
        <w:t xml:space="preserve">Interestingly, only 8% of the treatment feasibility overlapped with crown fire probability. This is likely because the most vulnerable areas, those with the highest probability of crown fire, may exist on steeper, more remote slopes making them difficult to access for mechanical treatment. Although this is alarming from a mechanical treatment perspective, it could be that these areas’ lack of accessibility may make them less prone to human-induced ignitions.</w:t>
      </w:r>
    </w:p>
    <w:p>
      <w:pPr>
        <w:pStyle w:val="Heading3"/>
      </w:pPr>
      <w:r>
        <w:t xml:space="preserve">Inter-agency Tracking System</w:t>
      </w:r>
    </w:p>
    <w:p>
      <w:r>
        <w:t xml:space="preserve">On the other hand, if we examine treatments recorded in the Interagency Tracking System treatment tracker there is overlap between treatments and areas of high probability (</w:t>
      </w:r>
      <w:r>
        <w:t xml:space="preserve">Figure </w:t>
      </w:r>
      <w:r>
        <w:t xml:space="preserve">2</w:t>
      </w:r>
      <w:r>
        <w:t xml:space="preserve">). Keep in mind that the polygons are large (10,000 ac) and the probabilities represent the median for the entire polygon. As a result, even small treatments could make a big difference over those relatively large landscapes.</w:t>
      </w:r>
    </w:p>
    <w:p>
      <w:pPr>
        <w:jc w:val="center"/>
      </w:pPr>
      <w:r>
        <w:drawing>
          <wp:inline distT="0" distB="0" distL="0" distR="0">
            <wp:extent cx="4000500" cy="4000500"/>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00500"/>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Interagency Tracking System treatments compared to crown fire probability. There are more treatments in the Central Sierra high probability areas vs. the donut in the Cascades. In fact, the high probability region in northeast Shasta County does not have many treatments.</w:t>
      </w:r>
    </w:p>
    <w:p>
      <w:r>
        <w:t xml:space="preserve">Examining this quantitatively, it’s clear that the treatments in Shasta/Trinity Counties (</w:t>
      </w:r>
      <w:r>
        <w:t xml:space="preserve">Figure </w:t>
      </w:r>
      <w:r>
        <w:t xml:space="preserve">3</w:t>
      </w:r>
      <w:r>
        <w:t xml:space="preserve">) are not as focused on high probability acres as the Sierra Counties (</w:t>
      </w:r>
      <w:r>
        <w:t xml:space="preserve">Figure </w:t>
      </w:r>
      <w:r>
        <w:t xml:space="preserve">4</w:t>
      </w:r>
      <w:r>
        <w:t xml:space="preserve">).</w:t>
      </w:r>
    </w:p>
    <w:p>
      <w:pPr>
        <w:jc w:val="center"/>
      </w:pPr>
      <w:r>
        <w:drawing>
          <wp:inline distT="0" distB="0" distL="0" distR="0">
            <wp:extent cx="4000500" cy="2400300"/>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003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Crown fire probablity vs. percent area treated in Shasta and Trinity Counties. Low 60%, Medium 32%, High 8%.</w:t>
      </w:r>
    </w:p>
    <w:p>
      <w:pPr>
        <w:jc w:val="center"/>
      </w:pPr>
      <w:r>
        <w:drawing>
          <wp:inline distT="0" distB="0" distL="0" distR="0">
            <wp:extent cx="4000500" cy="2400300"/>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00300"/>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t xml:space="preserve">Crown fire probablity vs. percent area treated in Central Sierra Counties. Low 18%, Medium 54%, High 28%.</w:t>
      </w:r>
    </w:p>
    <w:p>
      <w:pPr>
        <w:pStyle w:val="Heading3"/>
      </w:pPr>
      <w:r>
        <w:t xml:space="preserve">Wind speed</w:t>
      </w:r>
    </w:p>
    <w:p>
      <w:r>
        <w:t xml:space="preserve">Anecdotally, the four county region in the Central Sierra (Nevada, Placer, Sierra, Yuba) has not had a catastrophic wildfire recently because the region has particularly low winds. We examined whether or not there were any such anomalies using a global wind dataset and did not find anything that stood out </w:t>
      </w:r>
      <w:r>
        <w:t xml:space="preserve">(</w:t>
      </w:r>
      <w:r>
        <w:t xml:space="preserve">Davis </w:t>
      </w:r>
      <w:r>
        <w:rPr>
          <w:i/>
          <w:iCs/>
        </w:rPr>
        <w:t xml:space="preserve">et al.</w:t>
      </w:r>
      <w:r>
        <w:t xml:space="preserve">, 2023</w:t>
      </w:r>
      <w:r>
        <w:t xml:space="preserve">)</w:t>
      </w:r>
      <w:r>
        <w:t xml:space="preserve">. This could still be the case at local levels, but we have not yet found data to indicate this is the case.</w:t>
      </w:r>
    </w:p>
    <w:p>
      <w:pPr>
        <w:pStyle w:val="Heading2"/>
      </w:pPr>
      <w:r>
        <w:t xml:space="preserve">Conclusion</w:t>
      </w:r>
    </w:p>
    <w:p>
      <w:r>
        <w:t xml:space="preserve">Donut hole patterns provide a practical way to pinpoint where wildfire intervention is most needed. In the Central Sierra, only 8% of high crown fire probability overlaps with areas that can be treated mechanically. The locations most at risk for severe fire are often the hardest to access. Still, strategic prioritization is essential. The Central Sierra devotes 28% of its treatment efforts to high-probability areas, while Shasta and Trinity Counties focus only 8% there. Research from the Mokelumne Watershed indicates that treating about 30% of a landscape in strategically connected patterns can influence fire behavior over a much larger area. This concept is similar to herd immunity and does not require every acre to be treated. A useful next step is to look at the overlap between crown fire probability, land ownership patterns, and treatment infrastructure. This analysis can help identify where restoration can realistically scale quickly enough to be effective. Ultimately, the most significant systems issue may be the combination of climate stress, accumulated fuels, and institutional weakening occurring simultaneously. This triad sets this moment apart from previous fire eras and calls for not only better spatial targeting but also ongoing investment in cross-boundary coordination and cultural burning practices.</w:t>
      </w:r>
    </w:p>
    <w:p>
      <w:pPr>
        <w:pStyle w:val="Heading2"/>
      </w:pPr>
      <w:r>
        <w:t xml:space="preserve">References</w:t>
      </w:r>
    </w:p>
    <w:p>
      <w:r>
        <w:t xml:space="preserve">Buckley, M., Beck, N., Bowden, P., Miller, M., Hill, B., Luce, C., Elliot, W., Enstice, N., Podolak, K., Winford, E., &amp; others. (2014). </w:t>
      </w:r>
      <w:r>
        <w:rPr>
          <w:i/>
          <w:iCs/>
        </w:rPr>
        <w:t xml:space="preserve">Mokelumne watershed avoided cost analysis: why Sierra fuel treatments make economic sense</w:t>
      </w:r>
      <w:r>
        <w:t xml:space="preserve">. </w:t>
      </w:r>
      <w:hyperlink w:history="1" r:id="rIdiq8yaivilae1xlcshupa1">
        <w:r>
          <w:rPr>
            <w:rStyle w:val="Hyperlink"/>
          </w:rPr>
          <w:t xml:space="preserve">https://sierranevada.ca.gov/what-we-do/mokelumne-watershed-avoided-cost-analysis</w:t>
        </w:r>
      </w:hyperlink>
    </w:p>
    <w:p>
      <w:r>
        <w:t xml:space="preserve">Davis, N., Badger, J., Hahman, A., Hansen, B., Mortensen, G., Kelly, M., Larsen, X., Olsen, B., Floors, R., &amp; others. (2023). </w:t>
      </w:r>
      <w:r>
        <w:rPr>
          <w:i/>
          <w:iCs/>
        </w:rPr>
        <w:t xml:space="preserve">The Global Wind Atlas: A high-resolution dataset of climatologies and associated web-based application</w:t>
      </w:r>
      <w:r>
        <w:t xml:space="preserve">. </w:t>
      </w:r>
      <w:hyperlink w:history="1" r:id="rIdv28t3jfsbppe8uy3ztit0">
        <w:r>
          <w:rPr>
            <w:rStyle w:val="Hyperlink"/>
          </w:rPr>
          <w:t xml:space="preserve">https://doi.org/10.1175/BAMS-D-21-0075.1</w:t>
        </w:r>
      </w:hyperlink>
    </w:p>
    <w:p>
      <w:r>
        <w:t xml:space="preserve">Pyrologix. (2025). </w:t>
      </w:r>
      <w:r>
        <w:rPr>
          <w:i/>
          <w:iCs/>
        </w:rPr>
        <w:t xml:space="preserve">Crown fire probability</w:t>
      </w:r>
      <w:r>
        <w:t xml:space="preserve">. </w:t>
      </w:r>
      <w:hyperlink w:history="1" r:id="rIdolzwqqiz7nxzsxptengck">
        <w:r>
          <w:rPr>
            <w:rStyle w:val="Hyperlink"/>
          </w:rPr>
          <w:t xml:space="preserve">https://www.vpdatacommons.org/datasets/crown-fire-probability</w:t>
        </w:r>
      </w:hyperlink>
    </w:p>
    <w:p>
      <w:r>
        <w:t xml:space="preserve">Tukman, M. (2022). </w:t>
      </w:r>
      <w:r>
        <w:rPr>
          <w:i/>
          <w:iCs/>
        </w:rPr>
        <w:t xml:space="preserve">North Coast Mechanical Treatment Feasibility</w:t>
      </w:r>
      <w:r>
        <w:t xml:space="preserve">. Tukman Geospatial. </w:t>
      </w:r>
      <w:hyperlink w:history="1" r:id="rIdevoj3rg6ppwvwclgays6e">
        <w:r>
          <w:rPr>
            <w:rStyle w:val="Hyperlink"/>
          </w:rPr>
          <w:t xml:space="preserve">https://ncrp.maps.arcgis.com/home/item.html?id=b72b2ea500c84c12a2f84a620336280e</w:t>
        </w:r>
      </w:hyperlink>
    </w:p>
    <w:p>
      <w:r>
        <w:t xml:space="preserve">USFS. (2016). </w:t>
      </w:r>
      <w:r>
        <w:rPr>
          <w:i/>
          <w:iCs/>
        </w:rPr>
        <w:t xml:space="preserve">USFS mechanical treatment opportunity (scenario a)</w:t>
      </w:r>
      <w:r>
        <w:t xml:space="preserve">. </w:t>
      </w:r>
      <w:hyperlink w:history="1" r:id="rIdmnn3obumycob7j8knkgl9">
        <w:r>
          <w:rPr>
            <w:rStyle w:val="Hyperlink"/>
          </w:rPr>
          <w:t xml:space="preserve">https://gisday23.maps.arcgis.com/home/item.html?id=e6b29bd66c6a4214b11aaff5af5cd6c9</w:t>
        </w:r>
      </w:hyperlink>
    </w:p>
    <w:p>
      <w:r>
        <w:t xml:space="preserve">WRCNC. (2026). </w:t>
      </w:r>
      <w:r>
        <w:rPr>
          <w:i/>
          <w:iCs/>
        </w:rPr>
        <w:t xml:space="preserve">Standing Dead: Overstocked, Overgrown, Overdue</w:t>
      </w:r>
      <w:r>
        <w:t xml:space="preserve">. Wildfire Ready Coalition of Nevada County &amp; Riparian Studios. </w:t>
      </w:r>
      <w:hyperlink w:history="1" r:id="rIdkabk7xbwacbvwukoch8in">
        <w:r>
          <w:rPr>
            <w:rStyle w:val="Hyperlink"/>
          </w:rPr>
          <w:t xml:space="preserve">https://www.youtube.com/watch?app=desktop&amp;v=ri5NJbvwiwo</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0hcykkdorjm1hycj76k4o" Type="http://schemas.openxmlformats.org/officeDocument/2006/relationships/hyperlink" Target="https://3point.xyz/predicting_fire2/" TargetMode="External"/><Relationship Id="rIdiq8yaivilae1xlcshupa1" Type="http://schemas.openxmlformats.org/officeDocument/2006/relationships/hyperlink" Target="https://sierranevada.ca.gov/what-we-do/mokelumne-watershed-avoided-cost-analysis" TargetMode="External"/><Relationship Id="rIdv28t3jfsbppe8uy3ztit0" Type="http://schemas.openxmlformats.org/officeDocument/2006/relationships/hyperlink" Target="https://doi.org/10.1175/BAMS-D-21-0075.1" TargetMode="External"/><Relationship Id="rIdolzwqqiz7nxzsxptengck" Type="http://schemas.openxmlformats.org/officeDocument/2006/relationships/hyperlink" Target="https://www.vpdatacommons.org/datasets/crown-fire-probability" TargetMode="External"/><Relationship Id="rIdevoj3rg6ppwvwclgays6e" Type="http://schemas.openxmlformats.org/officeDocument/2006/relationships/hyperlink" Target="https://ncrp.maps.arcgis.com/home/item.html?id=b72b2ea500c84c12a2f84a620336280e" TargetMode="External"/><Relationship Id="rIdmnn3obumycob7j8knkgl9" Type="http://schemas.openxmlformats.org/officeDocument/2006/relationships/hyperlink" Target="https://gisday23.maps.arcgis.com/home/item.html?id=e6b29bd66c6a4214b11aaff5af5cd6c9" TargetMode="External"/><Relationship Id="rIdkabk7xbwacbvwukoch8in" Type="http://schemas.openxmlformats.org/officeDocument/2006/relationships/hyperlink" Target="https://www.youtube.com/watch?app=desktop&amp;v=ri5NJbvwiwo" TargetMode="External"/><Relationship Id="rId7" Type="http://schemas.openxmlformats.org/officeDocument/2006/relationships/image" Target="media/am4p1yzwiiepewwvs7qkv.png"/><Relationship Id="rId8" Type="http://schemas.openxmlformats.org/officeDocument/2006/relationships/image" Target="media/8au0xt-y-agumulrq_lkm.png"/><Relationship Id="rId9" Type="http://schemas.openxmlformats.org/officeDocument/2006/relationships/image" Target="media/wtuzkh0nihk_vjd996ou3.png"/><Relationship Id="rId10" Type="http://schemas.openxmlformats.org/officeDocument/2006/relationships/image" Target="media/weac970-pbu5qx0oi-nms.png"/></Relationships>
</file>

<file path=word/_rels/footer1.xml.rels><?xml version="1.0" encoding="UTF-8"?><Relationships xmlns="http://schemas.openxmlformats.org/package/2006/relationships"><Relationship Id="rId0" Type="http://schemas.openxmlformats.org/officeDocument/2006/relationships/image" Target="media/bexxsoxfd-mvv8cx5ncp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Donut hole as landscape resilience 🔥</dc:title>
  <dc:creator>Un-named</dc:creator>
  <cp:keywords>forest health, climate, predict, utilization</cp:keywords>
  <cp:lastModifiedBy>Un-named</cp:lastModifiedBy>
  <cp:revision>1</cp:revision>
  <dcterms:created xsi:type="dcterms:W3CDTF">2026-06-14T08:39:06.498Z</dcterms:created>
  <dcterms:modified xsi:type="dcterms:W3CDTF">2026-06-14T08:39:06.498Z</dcterms:modified>
</cp:coreProperties>
</file>

<file path=docProps/custom.xml><?xml version="1.0" encoding="utf-8"?>
<Properties xmlns="http://schemas.openxmlformats.org/officeDocument/2006/custom-properties" xmlns:vt="http://schemas.openxmlformats.org/officeDocument/2006/docPropsVTypes"/>
</file>