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10"/>
        </w:numPr>
      </w:pPr>
      <w:r>
        <w:rPr>
          <w:b/>
          <w:bCs/>
        </w:rPr>
        <w:t xml:space="preserve">Tailoring strategies</w:t>
      </w:r>
      <w:r>
        <w:t xml:space="preserve">. Off-the-shelf solutions do not exist, especially in the forest health arena. Tailored strategies for scaling are therefore required, but bespoke solutions make scaling challenging, particularly if they have to be adjusted for each situation, geography, or organizational component.</w:t>
      </w:r>
    </w:p>
    <w:p>
      <w:pPr>
        <w:pStyle w:val="ListParagraph"/>
        <w:numPr>
          <w:ilvl w:val="0"/>
          <w:numId w:val="10"/>
        </w:numPr>
      </w:pPr>
      <w:r>
        <w:rPr>
          <w:b/>
          <w:bCs/>
        </w:rPr>
        <w:t xml:space="preserve">Pilots may not work</w:t>
      </w:r>
      <w:r>
        <w:t xml:space="preserve">. Sometimes referred to as the “pilot and pray” approach. In many cases, we may be running out of time, funding, and resources to conduct pilots. However, if you have to pilot a project, try it at a small scale, with clear hypotheses and metrics set up to test effectiveness.</w:t>
      </w:r>
    </w:p>
    <w:p>
      <w:pPr>
        <w:pStyle w:val="ListParagraph"/>
        <w:numPr>
          <w:ilvl w:val="0"/>
          <w:numId w:val="10"/>
        </w:numPr>
      </w:pPr>
      <w:r>
        <w:rPr>
          <w:b/>
          <w:bCs/>
        </w:rPr>
        <w:t xml:space="preserve">Measuring outcomes</w:t>
      </w:r>
      <w:r>
        <w:t xml:space="preserve">. Create monitoring and measurement systems that measure outcomes or impacts of forest health projects and your company’s success. See the </w:t>
      </w:r>
      <w:hyperlink w:history="1" r:id="rIdlidmlpjmoh2vbilsjyfxg">
        <w:r>
          <w:rPr>
            <w:rStyle w:val="Hyperlink"/>
          </w:rPr>
          <w:t xml:space="preserve">Monitoring</w:t>
        </w:r>
      </w:hyperlink>
      <w:r>
        <w:t xml:space="preserve"> chapter for more details on creating a system to measure your business success.</w:t>
      </w:r>
    </w:p>
    <w:p>
      <w:pPr>
        <w:pStyle w:val="ListParagraph"/>
        <w:numPr>
          <w:ilvl w:val="0"/>
          <w:numId w:val="10"/>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10"/>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over time.</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in San Francisco is. Few to none of this </w:t>
      </w:r>
      <w:r>
        <w:rPr>
          <w:i/>
          <w:iCs/>
        </w:rPr>
        <w:t xml:space="preserve">oevre</w:t>
      </w:r>
      <w:r>
        <w:t xml:space="preserve"> is linked to forest health, with most articles focused on scaling tech startups and most exploring scaling nuts and bolts.</w:t>
      </w:r>
    </w:p>
    <w:p>
      <w:pPr>
        <w:pStyle w:val="Heading3"/>
      </w:pPr>
      <w:r>
        <w:t xml:space="preserve">Emotions</w:t>
      </w:r>
    </w:p>
    <w:p>
      <w:r>
        <w:t xml:space="preserve">Molly Graham, from her experience of scaling at Google, Facebook, and Quip, takes a unique scaling approach, examining the people and emotional side of scaling, noting that you should not try avoiding or ignoring the emotions that couple with the scaling tornado, but acknowledging they’re normal and any other organization will be going through similar circumstances </w:t>
      </w:r>
      <w:r>
        <w:t xml:space="preserve">Graham (2024)</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Graham (2024)</w:t>
      </w:r>
      <w:r>
        <w:t xml:space="preserve">.</w:t>
      </w:r>
    </w:p>
    <w:p>
      <w:r>
        <w:t xml:space="preserve">Considering emotions in scaling is crucial for managing the workforce and also an important part of scaling leadership. Let’s look at other approaches from the conservation and agricultural fields.</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created by </w:t>
      </w:r>
      <w:r>
        <w:t xml:space="preserve">Moore </w:t>
      </w:r>
      <w:r>
        <w:rPr>
          <w:i/>
          <w:iCs/>
        </w:rPr>
        <w:t xml:space="preserve">et al.</w:t>
      </w:r>
      <w:r>
        <w:t xml:space="preserve"> (2015)</w:t>
      </w:r>
      <w:r>
        <w:t xml:space="preserve"> for scaling conservation nonprofits. Based on their literature review, there are three scaling approaches:</w:t>
      </w:r>
    </w:p>
    <w:p>
      <w:pPr>
        <w:pStyle w:val="ListParagraph"/>
        <w:numPr>
          <w:ilvl w:val="0"/>
          <w:numId w:val="11"/>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11"/>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11"/>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 points and well-thought-out strategies to succeed. Simply running radio spots to bolster messaging isn’t enough to change behavior.</w:t>
      </w:r>
    </w:p>
    <w:p>
      <w:r>
        <w:t xml:space="preserve">Scaling out is common in conservation but has several downsides, including high risk and cost. Piloting may ultimately lead to what many conservation projects follow the ‘pilot and pray’ approach </w:t>
      </w:r>
      <w:r>
        <w:t xml:space="preserve">Salafsky &amp; Margoluis (2021)</w:t>
      </w:r>
      <w:r>
        <w:t xml:space="preserve">. In other words, implementing conservation actions based on effectiveness while ignoring scalability risks </w:t>
      </w:r>
      <w:r>
        <w:t xml:space="preserve">Pienkowski </w:t>
      </w:r>
      <w:r>
        <w:rPr>
          <w:i/>
          <w:iCs/>
        </w:rPr>
        <w:t xml:space="preserve">et al.</w:t>
      </w:r>
      <w:r>
        <w:t xml:space="preserve"> (2024)</w:t>
      </w:r>
      <w:r>
        <w:t xml:space="preserve">. A bottom line reality is that we may frequently be beyond the pilot stage for forest or biodiversity conservation due to the advanced state of wildfires, climate change, and habitat loss.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West </w:t>
      </w:r>
      <w:r>
        <w:rPr>
          <w:i/>
          <w:iCs/>
        </w:rPr>
        <w:t xml:space="preserve">et al.</w:t>
      </w:r>
      <w:r>
        <w:t xml:space="preserve"> (2023)</w:t>
      </w:r>
      <w:r>
        <w:t xml:space="preserve">.</w:t>
      </w:r>
    </w:p>
    <w:p>
      <w:pPr>
        <w:pStyle w:val="Heading3"/>
      </w:pPr>
      <w:r>
        <w:t xml:space="preserve">Farmer-2-farmer</w:t>
      </w:r>
    </w:p>
    <w:p>
      <w:r>
        <w:t xml:space="preserve">Compared to agriculture, conservation falls far behind in understanding the factors related to adoption and scale. In his seminal book on farmer-to-farmer extension called Two Ears of Corn, Roland Bunch describes scaling agricultural extension, starting small and spreads by diffusion </w:t>
      </w:r>
      <w:r>
        <w:t xml:space="preserve">Bunch (1982)</w:t>
      </w:r>
      <w:r>
        <w:t xml:space="preserve">. One of the main components of this approach begins with small-scale experimentation. Farmers drive experimentation at this level on tiny, ~50 m</w:t>
      </w:r>
      <w:r>
        <w:rPr>
          <w:vertAlign w:val="superscript"/>
        </w:rPr>
        <w:t xml:space="preserve">2</w:t>
      </w:r>
      <w:r>
        <w:t xml:space="preserve">, plots, creating a low-risk approach. Small-scale experimentation has several advantages at the programmatic level since it can reach the poorest farmers due to its low-risk, low-cost approach.</w:t>
      </w:r>
    </w:p>
    <w:p>
      <w:r>
        <w:t xml:space="preserve">As more farmers do more experiments and successful strategies are chosen, the diffusion of the program spreads rapidly as farmers adopt cost-effective farming practices. The approach also has the advantage of being self-sustaining and does not need technical assistance from outside experts since farmers learn directly from one another; in other words, the program creates and turns its flywheel </w:t>
      </w:r>
      <w:r>
        <w:t xml:space="preserve">Collins (2005)</w:t>
      </w:r>
      <w:r>
        <w:t xml:space="preserve">. Like the scaling deep approach mentioned above, farmer-to-farmer approaches can be scaled as movements and connected to social movements for food sovereignty </w:t>
      </w:r>
      <w:r>
        <w:t xml:space="preserve">Brescia (2017)</w:t>
      </w:r>
      <w:r>
        <w:t xml:space="preserve">.</w:t>
      </w:r>
    </w:p>
    <w:p>
      <w:r>
        <w:t xml:space="preserve">Brescia (2017)</w:t>
      </w:r>
      <w:r>
        <w:t xml:space="preserve"> offers a similar scaling framework to </w:t>
      </w:r>
      <w:r>
        <w:t xml:space="preserve">Salafsky </w:t>
      </w:r>
      <w:r>
        <w:rPr>
          <w:i/>
          <w:iCs/>
        </w:rPr>
        <w:t xml:space="preserve">et al.</w:t>
      </w:r>
      <w:r>
        <w:t xml:space="preserve"> (2021)</w:t>
      </w:r>
      <w:r>
        <w:t xml:space="preserve">:</w:t>
      </w:r>
    </w:p>
    <w:p>
      <w:pPr>
        <w:pStyle w:val="ListParagraph"/>
        <w:numPr>
          <w:ilvl w:val="0"/>
          <w:numId w:val="12"/>
        </w:numPr>
      </w:pPr>
      <w:r>
        <w:rPr>
          <w:b/>
          <w:bCs/>
        </w:rPr>
        <w:t xml:space="preserve">Depth</w:t>
      </w:r>
      <w:r>
        <w:t xml:space="preserve">. Groups of farmers innovate on their farms.</w:t>
      </w:r>
    </w:p>
    <w:p>
      <w:pPr>
        <w:pStyle w:val="ListParagraph"/>
        <w:numPr>
          <w:ilvl w:val="0"/>
          <w:numId w:val="12"/>
        </w:numPr>
      </w:pPr>
      <w:r>
        <w:rPr>
          <w:b/>
          <w:bCs/>
        </w:rPr>
        <w:t xml:space="preserve">Breadth</w:t>
      </w:r>
      <w:r>
        <w:t xml:space="preserve">. Known as horizontal scaling and can be achieved when practices are spread across many households and communities.</w:t>
      </w:r>
    </w:p>
    <w:p>
      <w:pPr>
        <w:pStyle w:val="ListParagraph"/>
        <w:numPr>
          <w:ilvl w:val="0"/>
          <w:numId w:val="12"/>
        </w:numPr>
      </w:pPr>
      <w:r>
        <w:rPr>
          <w:b/>
          <w:bCs/>
        </w:rPr>
        <w:t xml:space="preserve">Verticality</w:t>
      </w:r>
      <w:r>
        <w:t xml:space="preserve">. Comes into play when enabling farming practices across networks and movements and linking community farmers to markets and supportive policies.</w:t>
      </w:r>
    </w:p>
    <w:p>
      <w:pPr>
        <w:pStyle w:val="Heading3"/>
      </w:pPr>
      <w:r>
        <w:t xml:space="preserve">Planned &amp; scaled funding</w:t>
      </w:r>
    </w:p>
    <w:p>
      <w:r>
        <w:t xml:space="preserve">Funding is an important factor in scaling not covered in the agricultural examples above. In the check your scaling assumptions </w:t>
      </w:r>
      <w:r>
        <w:t xml:space="preserve">Salafsky </w:t>
      </w:r>
      <w:r>
        <w:rPr>
          <w:i/>
          <w:iCs/>
        </w:rPr>
        <w:t xml:space="preserve">et al.</w:t>
      </w:r>
      <w:r>
        <w:t xml:space="preserve"> (2021)</w:t>
      </w:r>
      <w:r>
        <w:t xml:space="preserve"> provides an excellent example of developing realistic budgets based on strategic plan goals and costing those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They then create a financial model to determine total projects, costs, tons of carbon sequestered, and cost/ton. The upfront work demonstrates the value of testing assumptions made to carry out a plan </w:t>
      </w:r>
      <w:r>
        <w:t xml:space="preserve">Salafsky </w:t>
      </w:r>
      <w:r>
        <w:rPr>
          <w:i/>
          <w:iCs/>
        </w:rPr>
        <w:t xml:space="preserve">et al.</w:t>
      </w:r>
      <w:r>
        <w:t xml:space="preserve"> (2021)</w:t>
      </w:r>
      <w:r>
        <w:t xml:space="preserve">. A similar analysis could be completed simultaneously, focusing on staffing and workforce needed to carry out the plan.</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13"/>
        </w:numPr>
      </w:pPr>
      <w:r>
        <w:rPr>
          <w:b/>
          <w:bCs/>
        </w:rPr>
        <w:t xml:space="preserve">Finance</w:t>
      </w:r>
      <w:r>
        <w:t xml:space="preserve">. As a business scales, Different timings, amounts, and for different items may occur, further complicated by changes in markets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13"/>
        </w:numPr>
      </w:pPr>
      <w:r>
        <w:rPr>
          <w:b/>
          <w:bCs/>
        </w:rPr>
        <w:t xml:space="preserve">Funding</w:t>
      </w:r>
      <w:r>
        <w:t xml:space="preserve">. A business mantra for funding could be to use government grants to test and loans to scale. Government grants can be used to test new ideas, practices, and equipment and act as a powerful innovation and test phase before scaling. Phased properly, along with purposeful testing, grants can allow pilots to be rapidly scaled. Following successful test implementation, loans can scale landscape implementation following the proven track record developed with agency grants. As highlighted in </w:t>
      </w:r>
      <w:hyperlink w:history="1" r:id="rIdejw8ehys4zhveegkwnfkw">
        <w:r>
          <w:rPr>
            <w:rStyle w:val="Hyperlink"/>
          </w:rPr>
          <w:t xml:space="preserve">Program Design</w:t>
        </w:r>
      </w:hyperlink>
      <w:r>
        <w:t xml:space="preserve">, use your business or strategic plan to prioritize the grants you pursue rather than allowing grant programs to change your priorities and vision.</w:t>
      </w:r>
    </w:p>
    <w:p>
      <w:pPr>
        <w:pStyle w:val="ListParagraph"/>
        <w:numPr>
          <w:ilvl w:val="0"/>
          <w:numId w:val="13"/>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Succession as a company matures carries the same needs and cannot be overlooked, particularly during rapid growth. Similarly, over-dependence on the vision of the original leader/founder can hamper a company’s ability to scale and be successful beyond the original business bounds.</w:t>
      </w:r>
    </w:p>
    <w:p>
      <w:pPr>
        <w:pStyle w:val="ListParagraph"/>
        <w:numPr>
          <w:ilvl w:val="0"/>
          <w:numId w:val="13"/>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is another. Another way may be to diversify your product lines with a mix of traditional items to create a core revenue source and new products to test their selling power and establishment.</w:t>
      </w:r>
    </w:p>
    <w:p>
      <w:pPr>
        <w:pStyle w:val="ListParagraph"/>
        <w:numPr>
          <w:ilvl w:val="0"/>
          <w:numId w:val="13"/>
        </w:numPr>
      </w:pPr>
      <w:r>
        <w:rPr>
          <w:b/>
          <w:bCs/>
        </w:rPr>
        <w:t xml:space="preserve">Quality control</w:t>
      </w:r>
      <w:r>
        <w:t xml:space="preserve">. Maintaining quality control with franchises can be difficult, especially when the original product artisans can no longer oversee every aspect of production. Training new staff for satellite production facilities should be done using the scaling procedure and given enough time. Quality control can also be compromised when rapid production increases are required. Keeping pace with this change is difficult to predict but must be factored into expansion or scaling plans.</w:t>
      </w:r>
    </w:p>
    <w:p>
      <w:pPr>
        <w:pStyle w:val="ListParagraph"/>
        <w:numPr>
          <w:ilvl w:val="0"/>
          <w:numId w:val="13"/>
        </w:numPr>
      </w:pPr>
      <w:r>
        <w:rPr>
          <w:b/>
          <w:bCs/>
        </w:rPr>
        <w:t xml:space="preserve">Maintenance</w:t>
      </w:r>
      <w:r>
        <w:t xml:space="preserve">. If you’re focused on forest health and restoration, maintaining previously treated sites should be built into your scale model with workforce, transportation, equipment use, and distance to sites for processing wood all considered. Maintaining equipment, vehicles, and other hardware in your business depends on what needs to be built into your costs and how you scale and have the right people to maintain needed equipment schedules.</w:t>
      </w:r>
    </w:p>
    <w:p>
      <w:pPr>
        <w:pStyle w:val="ListParagraph"/>
        <w:numPr>
          <w:ilvl w:val="0"/>
          <w:numId w:val="13"/>
        </w:numPr>
      </w:pPr>
      <w:r>
        <w:rPr>
          <w:b/>
          <w:bCs/>
        </w:rPr>
        <w:t xml:space="preserve">Sustainability</w:t>
      </w:r>
      <w:r>
        <w:t xml:space="preserve">. How sustainable is your business as it expands? Are there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13"/>
        </w:numPr>
      </w:pPr>
      <w:r>
        <w:rPr>
          <w:b/>
          <w:bCs/>
        </w:rPr>
        <w:t xml:space="preserve">Measuring outcomes</w:t>
      </w:r>
      <w:r>
        <w:t xml:space="preserve">. Create monitoring and measurement systems that measure the outcomes or impacts of forest health projects and your company’s success.</w:t>
      </w:r>
    </w:p>
    <w:p>
      <w:pPr>
        <w:pStyle w:val="Heading2"/>
      </w:pPr>
      <w:r>
        <w:t xml:space="preserve">Challenges</w:t>
      </w:r>
    </w:p>
    <w:p>
      <w:r>
        <w:t xml:space="preserve">Rapid scaling is a huge challenge, particularly for nonprofit organizations that are often unable to scale rapidly due to funding, workforce, and governance issues. These issues seem overwhelming, but each piece is not insurmountable and may frequently have simple solutions. Patterns of challenges for scaling include</w:t>
      </w:r>
    </w:p>
    <w:p>
      <w:pPr>
        <w:pStyle w:val="ListParagraph"/>
        <w:numPr>
          <w:ilvl w:val="0"/>
          <w:numId w:val="14"/>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14"/>
        </w:numPr>
      </w:pPr>
      <w:r>
        <w:rPr>
          <w:b/>
          <w:bCs/>
        </w:rPr>
        <w:t xml:space="preserve">Chicken and egg finance</w:t>
      </w:r>
      <w:r>
        <w:t xml:space="preserve">. Banks are no longer experienced in-house with the due diligence required to review loans for forest health and infrastructure projects. To compensate, they ask businesses to return once the business is functioning. This chicken and egg situation, akin to not being able to apply for a job out of college w/o experience, is trying for new businesses or existing businesses trialing new technologies. This challenge may decline over time but certainly does not help accelerate the pace and scale of forest health treatments at the present moment.</w:t>
      </w:r>
    </w:p>
    <w:p>
      <w:pPr>
        <w:pStyle w:val="ListParagraph"/>
        <w:numPr>
          <w:ilvl w:val="0"/>
          <w:numId w:val="14"/>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14"/>
        </w:numPr>
      </w:pPr>
      <w:r>
        <w:rPr>
          <w:b/>
          <w:bCs/>
        </w:rPr>
        <w:t xml:space="preserve">Nonprofits scaling pace</w:t>
      </w:r>
      <w:r>
        <w:t xml:space="preserve">. Nonprofits typically do not scale quickly. It’s impossible to scale when you fund many projects based on a reimbursable format, such as funding from most state and federal agencies.</w:t>
      </w:r>
    </w:p>
    <w:p>
      <w:pPr>
        <w:pStyle w:val="ListParagraph"/>
        <w:numPr>
          <w:ilvl w:val="0"/>
          <w:numId w:val="14"/>
        </w:numPr>
      </w:pPr>
      <w:r>
        <w:rPr>
          <w:b/>
          <w:bCs/>
        </w:rPr>
        <w:t xml:space="preserve">Agency agreements impede scale</w:t>
      </w:r>
      <w:r>
        <w:t xml:space="preserve">. Currently, the slow speed of executing agency agreements—some may take upwards of one year to follow grant awards—significantly impedes the pace and scale of forest health implementation. The cost and speed of environmental compliance are similar issues, putting the brakes on project implementation.</w:t>
      </w:r>
    </w:p>
    <w:p>
      <w:pPr>
        <w:pStyle w:val="ListParagraph"/>
        <w:numPr>
          <w:ilvl w:val="0"/>
          <w:numId w:val="14"/>
        </w:numPr>
      </w:pPr>
      <w:r>
        <w:rPr>
          <w:b/>
          <w:bCs/>
        </w:rPr>
        <w:t xml:space="preserve">NIMBY</w:t>
      </w:r>
      <w:r>
        <w:t xml:space="preserve">. Neighbors may oppose projects despite the need for biomass utilization, forest products, and mills. For example, Alpenglow Timber in Truckee, California, in late 2024, had a NIMBY challenge even though some of the project opponents were on biomass promotion projects or boards!</w:t>
      </w:r>
    </w:p>
    <w:p>
      <w:pPr>
        <w:pStyle w:val="ListParagraph"/>
        <w:numPr>
          <w:ilvl w:val="0"/>
          <w:numId w:val="14"/>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to the actual goal of treating 1 million acres throughout the state.</w:t>
      </w:r>
    </w:p>
    <w:p>
      <w:pPr>
        <w:pStyle w:val="ListParagraph"/>
        <w:numPr>
          <w:ilvl w:val="0"/>
          <w:numId w:val="14"/>
        </w:numPr>
      </w:pPr>
      <w:r>
        <w:rPr>
          <w:b/>
          <w:bCs/>
        </w:rPr>
        <w:t xml:space="preserve">One size doesn’t fit all</w:t>
      </w:r>
      <w:r>
        <w:t xml:space="preserve">. This makes for a conundrum that prevents scaling since every effort to scale requires bespoke changes in policy, funding, workforce, behavioral, and institutional change </w:t>
      </w:r>
      <w:r>
        <w:t xml:space="preserve">Churches (2023)</w:t>
      </w:r>
      <w:r>
        <w:t xml:space="preserve">. Furthermore, some companies may be content to scale to a certain size; others may wish to grow further. This right size can be factored into planning by the organization’s board, but bottoms-up ownership of this growth also needs attention, not just top-down direction from the board.</w:t>
      </w:r>
    </w:p>
    <w:p>
      <w:pPr>
        <w:pStyle w:val="ListParagraph"/>
        <w:numPr>
          <w:ilvl w:val="0"/>
          <w:numId w:val="14"/>
        </w:numPr>
      </w:pPr>
      <w:r>
        <w:rPr>
          <w:b/>
          <w:bCs/>
        </w:rPr>
        <w:t xml:space="preserve">Effectiveness &amp; scalability</w:t>
      </w:r>
      <w:r>
        <w:t xml:space="preserve">. Evidence of scaling effectiveness, readiness, and risk evaluation can be lacking in projects. The actual total impact is not dependent on scalability alone, it is the sum of effectivneness and scale </w:t>
      </w:r>
      <w:r>
        <w:t xml:space="preserve">Pienkowski </w:t>
      </w:r>
      <w:r>
        <w:rPr>
          <w:i/>
          <w:iCs/>
        </w:rPr>
        <w:t xml:space="preserve">et al.</w:t>
      </w:r>
      <w:r>
        <w:t xml:space="preserve"> (2024)</w:t>
      </w:r>
      <w:r>
        <w:t xml:space="preserve">.</w:t>
      </w:r>
    </w:p>
    <w:p>
      <w:pPr>
        <w:pStyle w:val="Heading2"/>
      </w:pPr>
      <w:r>
        <w:t xml:space="preserve">Recommendations</w:t>
      </w:r>
    </w:p>
    <w:p>
      <w:r>
        <w:t xml:space="preserve">Overall, strategies need to be tailored. Considerations to incorporate scale when developing your business, project, and programs for forest health:</w:t>
      </w:r>
    </w:p>
    <w:p>
      <w:pPr>
        <w:pStyle w:val="ListParagraph"/>
        <w:numPr>
          <w:ilvl w:val="0"/>
          <w:numId w:val="15"/>
        </w:numPr>
      </w:pPr>
      <w:r>
        <w:rPr>
          <w:b/>
          <w:bCs/>
        </w:rPr>
        <w:t xml:space="preserve">Scale from the outset</w:t>
      </w:r>
      <w:r>
        <w:t xml:space="preserve">. Consider scaling from the start of your program design.</w:t>
      </w:r>
    </w:p>
    <w:p>
      <w:pPr>
        <w:pStyle w:val="ListParagraph"/>
        <w:numPr>
          <w:ilvl w:val="0"/>
          <w:numId w:val="15"/>
        </w:numPr>
      </w:pPr>
      <w:r>
        <w:rPr>
          <w:b/>
          <w:bCs/>
        </w:rPr>
        <w:t xml:space="preserve">Calculate scale costs</w:t>
      </w:r>
      <w:r>
        <w:t xml:space="preserve">. Rough out the costs of scaling your work and assess feasibility.</w:t>
      </w:r>
    </w:p>
    <w:p>
      <w:pPr>
        <w:pStyle w:val="ListParagraph"/>
        <w:numPr>
          <w:ilvl w:val="0"/>
          <w:numId w:val="15"/>
        </w:numPr>
      </w:pPr>
      <w:r>
        <w:rPr>
          <w:b/>
          <w:bCs/>
        </w:rPr>
        <w:t xml:space="preserve">Emotional scale</w:t>
      </w:r>
      <w:r>
        <w:t xml:space="preserve">. Be aware of the emotional cost of scale to you as a business owner or nonprofit manager and its impact on your staff.</w:t>
      </w:r>
    </w:p>
    <w:p>
      <w:pPr>
        <w:pStyle w:val="ListParagraph"/>
        <w:numPr>
          <w:ilvl w:val="0"/>
          <w:numId w:val="15"/>
        </w:numPr>
      </w:pPr>
      <w:r>
        <w:rPr>
          <w:b/>
          <w:bCs/>
        </w:rPr>
        <w:t xml:space="preserve">Replication &amp; adoption</w:t>
      </w:r>
      <w:r>
        <w:t xml:space="preserve">. Replication and adoption are moving targets and change as you scale.</w:t>
      </w:r>
    </w:p>
    <w:p>
      <w:pPr>
        <w:pStyle w:val="ListParagraph"/>
        <w:numPr>
          <w:ilvl w:val="0"/>
          <w:numId w:val="15"/>
        </w:numPr>
      </w:pPr>
      <w:r>
        <w:rPr>
          <w:b/>
          <w:bCs/>
        </w:rPr>
        <w:t xml:space="preserve">Effectiveness</w:t>
      </w:r>
      <w:r>
        <w:t xml:space="preserve">. Measuring success becomes more complicated with scale but infinitely more valuable for learning and determining what is working or not.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bosnfl733ew2vru6xgprg">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lcbwxwdyfjcjoxpodflad">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necl3ak1o1l-d86qtxchz">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9ewow6adhjzqsltelaawv">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glaxochkapuwyybv7kjaq">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ftnpgteycpr69jsosymfk">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
    <w:lvlOverride w:ilvl="0">
      <w:startOverride w:val="1"/>
    </w:lvlOverride>
  </w:num>
  <w:num w:numId="10">
    <w:abstractNumId w:val="4"/>
    <w:lvlOverride w:ilvl="0">
      <w:startOverride w:val="1"/>
    </w:lvlOverride>
  </w:num>
  <w:num w:numId="11">
    <w:abstractNumId w:val="5"/>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8"/>
    <w:lvlOverride w:ilvl="0">
      <w:startOverride w:val="1"/>
    </w:lvlOverride>
  </w:num>
  <w:num w:numId="15">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idmlpjmoh2vbilsjyfxg" Type="http://schemas.openxmlformats.org/officeDocument/2006/relationships/hyperlink" Target="https://3point.xyz/fba-myst/monitoring" TargetMode="External"/><Relationship Id="rIdejw8ehys4zhveegkwnfkw" Type="http://schemas.openxmlformats.org/officeDocument/2006/relationships/hyperlink" Target="https://3point.xyz/fba-myst/program" TargetMode="External"/><Relationship Id="rIdbosnfl733ew2vru6xgprg" Type="http://schemas.openxmlformats.org/officeDocument/2006/relationships/hyperlink" Target="https://www.philanthropy.com/article/the-nonprofit-world-is-obsessed-with-scaling-but-is-it-always-the-right-choice" TargetMode="External"/><Relationship Id="rIdlcbwxwdyfjcjoxpodflad" Type="http://schemas.openxmlformats.org/officeDocument/2006/relationships/hyperlink" Target="https://review.firstround.com/make-friends-with-the-monster-chewing-on-your-leg-and-other-tips-for-surviving-startups" TargetMode="External"/><Relationship Id="rIdnecl3ak1o1l-d86qtxchz" Type="http://schemas.openxmlformats.org/officeDocument/2006/relationships/hyperlink" Target="https://doi.org/10.9774/GLEAF.4700.2015.ju.00009" TargetMode="External"/><Relationship Id="rId9ewow6adhjzqsltelaawv" Type="http://schemas.openxmlformats.org/officeDocument/2006/relationships/hyperlink" Target="https://doi.org/10.1038/s41559-024-02507-4" TargetMode="External"/><Relationship Id="rIdglaxochkapuwyybv7kjaq" Type="http://schemas.openxmlformats.org/officeDocument/2006/relationships/hyperlink" Target="https://stapgef.org/sites/default/files/2021-06/Taking%20Nature%20Based%20Solutions%20to%20Scale%202021-01.pdf" TargetMode="External"/><Relationship Id="rIdftnpgteycpr69jsosymfk" Type="http://schemas.openxmlformats.org/officeDocument/2006/relationships/hyperlink" Target="https://doi.org/10.1126/science.ade3535" TargetMode="External"/><Relationship Id="rId7" Type="http://schemas.openxmlformats.org/officeDocument/2006/relationships/image" Target="media/ysdalg0hbj6bdep3j4ghs.png"/></Relationships>
</file>

<file path=word/_rels/footer1.xml.rels><?xml version="1.0" encoding="UTF-8"?><Relationships xmlns="http://schemas.openxmlformats.org/package/2006/relationships"><Relationship Id="rId0" Type="http://schemas.openxmlformats.org/officeDocument/2006/relationships/image" Target="media/gwfy4m9_x9djcvwpzbu2i.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2026-03-11T23:11:45.191Z</dcterms:created>
  <dcterms:modified xsi:type="dcterms:W3CDTF">2026-03-11T23:11:45.191Z</dcterms:modified>
</cp:coreProperties>
</file>

<file path=docProps/custom.xml><?xml version="1.0" encoding="utf-8"?>
<Properties xmlns="http://schemas.openxmlformats.org/officeDocument/2006/custom-properties" xmlns:vt="http://schemas.openxmlformats.org/officeDocument/2006/docPropsVTypes"/>
</file>