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DRAFT Startup pathways</w:t>
      </w:r>
    </w:p>
    <w:p>
      <w:pPr>
        <w:pStyle w:val="Heading4"/>
      </w:pPr>
      <w:r>
        <w:t xml:space="preserve">Vance Russell, Christopher Sacco, Regine Miller</w:t>
      </w:r>
    </w:p>
    <w:p>
      <w:pPr>
        <w:pStyle w:val="Heading2"/>
      </w:pPr>
      <w:r>
        <w:t xml:space="preserve">Takeaways</w:t>
      </w:r>
    </w:p>
    <w:p>
      <w:pPr>
        <w:pStyle w:val="Heading2"/>
      </w:pPr>
      <w:r>
        <w:t xml:space="preserve">Introduction</w:t>
      </w:r>
    </w:p>
    <w:p>
      <w:r>
        <w:t xml:space="preserve">Describe the key differences in program design vs. feasibility and viable project design (Regine email)</w:t>
      </w:r>
    </w:p>
    <w:p>
      <w:pPr>
        <w:pStyle w:val="Heading2"/>
      </w:pPr>
      <w:r>
        <w:t xml:space="preserve">Challenges</w:t>
      </w:r>
    </w:p>
    <w:p>
      <w:r>
        <w:t xml:space="preserve">We often go straight to funding when it comes to startup challenges but funding can often be symptomatic of other challenges that hinder forest businesses in getting up and running. Some of these include</w:t>
      </w:r>
    </w:p>
    <w:p>
      <w:pPr>
        <w:pStyle w:val="ListParagraph"/>
        <w:numPr>
          <w:ilvl w:val="0"/>
          <w:numId w:val="9"/>
        </w:numPr>
      </w:pPr>
      <w:r>
        <w:rPr>
          <w:b/>
          <w:bCs/>
        </w:rPr>
        <w:t xml:space="preserve">Lean funding &amp; finance opportunities</w:t>
      </w:r>
      <w:r>
        <w:t xml:space="preserve">. Many grant opportunities are geared towards nonprofits. CAL FIRE’s Business and Workforce Development Grants and USFS’s Wood Innovations Grants are some of the few that offer busineses the opportunity to apply for public funds.</w:t>
      </w:r>
    </w:p>
    <w:p>
      <w:pPr>
        <w:pStyle w:val="ListParagraph"/>
        <w:numPr>
          <w:ilvl w:val="0"/>
          <w:numId w:val="9"/>
        </w:numPr>
      </w:pPr>
      <w:r>
        <w:rPr>
          <w:b/>
          <w:bCs/>
        </w:rPr>
        <w:t xml:space="preserve">Lack of infrastructure</w:t>
      </w:r>
      <w:r>
        <w:t xml:space="preserve">.</w:t>
      </w:r>
    </w:p>
    <w:p>
      <w:pPr>
        <w:pStyle w:val="ListParagraph"/>
        <w:numPr>
          <w:ilvl w:val="0"/>
          <w:numId w:val="9"/>
        </w:numPr>
      </w:pPr>
      <w:r>
        <w:rPr>
          <w:b/>
          <w:bCs/>
        </w:rPr>
        <w:t xml:space="preserve">Inability to facilitate long-term feedstock agreements</w:t>
      </w:r>
      <w:r>
        <w:t xml:space="preserve">. </w:t>
      </w:r>
      <w:r>
        <w:t xml:space="preserve">Swezy (2025)</w:t>
      </w:r>
      <w:r>
        <w:t xml:space="preserve"> mentions that once the sawlog supply normalized following the Dixie Fire, that although the regional Forest Service leadership is trying to align with the Wildfire and Forest Resilience Task Force Action </w:t>
      </w:r>
      <w:hyperlink w:history="1" r:id="rIdawmwvsjjdyeookml4cg2c">
        <w:r>
          <w:rPr>
            <w:rStyle w:val="Hyperlink"/>
          </w:rPr>
          <w:t xml:space="preserve">Plan</w:t>
        </w:r>
      </w:hyperlink>
      <w:r>
        <w:t xml:space="preserve"> for treatment targets, these objectives do not often match the local district ranger capacity to secure feedstock contracts nor the funding for the work resulting in inconsistent log supplies and financial instability for wood processing facilities.</w:t>
      </w:r>
    </w:p>
    <w:p>
      <w:pPr>
        <w:pStyle w:val="ListParagraph"/>
        <w:numPr>
          <w:ilvl w:val="0"/>
          <w:numId w:val="9"/>
        </w:numPr>
      </w:pPr>
      <w:r>
        <w:rPr>
          <w:b/>
          <w:bCs/>
        </w:rPr>
        <w:t xml:space="preserve">Lack of resources bespoke to wood products businesses</w:t>
      </w:r>
      <w:r>
        <w:t xml:space="preserve">.</w:t>
      </w:r>
    </w:p>
    <w:p>
      <w:pPr>
        <w:pStyle w:val="ListParagraph"/>
        <w:numPr>
          <w:ilvl w:val="0"/>
          <w:numId w:val="9"/>
        </w:numPr>
      </w:pPr>
      <w:r>
        <w:rPr>
          <w:b/>
          <w:bCs/>
        </w:rPr>
        <w:t xml:space="preserve">Sparse networking and partner opportunities</w:t>
      </w:r>
      <w:r>
        <w:t xml:space="preserve">.</w:t>
      </w:r>
    </w:p>
    <w:p>
      <w:pPr>
        <w:pStyle w:val="ListParagraph"/>
        <w:numPr>
          <w:ilvl w:val="0"/>
          <w:numId w:val="9"/>
        </w:numPr>
      </w:pPr>
      <w:r>
        <w:rPr>
          <w:b/>
          <w:bCs/>
        </w:rPr>
        <w:t xml:space="preserve">Leadership to run wood processing facilities</w:t>
      </w:r>
      <w:r>
        <w:t xml:space="preserve">. Although experienced labor to run mills may be available, as has been the case for Tahoe Forest Products and J&amp;C Lumber finding skilled leadership for supervisory positions to support operations and grow startups may be difficult </w:t>
      </w:r>
      <w:r>
        <w:t xml:space="preserve">(</w:t>
      </w:r>
      <w:r>
        <w:t xml:space="preserve">Swezy, 2025</w:t>
      </w:r>
      <w:r>
        <w:t xml:space="preserve">)</w:t>
      </w:r>
      <w:r>
        <w:t xml:space="preserve">.</w:t>
      </w:r>
    </w:p>
    <w:p/>
    <w:p>
      <w:pPr>
        <w:pBdr>
          <w:left w:val="double" w:color="5D85D0"/>
        </w:pBdr>
        <w:shd w:color="5D85D0" w:val="solid"/>
        <w:ind w:left="288" w:right="288"/>
      </w:pPr>
      <w:r>
        <w:rPr>
          <w:b/>
          <w:bCs/>
          <w:color w:val="FFFFFF"/>
        </w:rPr>
        <w:t xml:space="preserve">Recommendations to Funders</w:t>
      </w:r>
    </w:p>
    <w:p>
      <w:pPr>
        <w:pBdr>
          <w:left w:val="double" w:color="5D85D0"/>
        </w:pBdr>
        <w:ind w:left="288" w:right="288"/>
      </w:pPr>
      <w:r>
        <w:t xml:space="preserve">Putting together proposals in response to foundations and government agency requests for proposals (RFPs) can often be an arduous or torturous process. It doesn’t have to be this way, and some foundations and agencies are much better at it than others. They vary so widely it’s hard to make generalizations, but the best pay more attention to process and capacity building. Here are our suggestions for funders:</w:t>
      </w:r>
    </w:p>
    <w:p>
      <w:pPr>
        <w:pStyle w:val="ListParagraph"/>
        <w:numPr>
          <w:ilvl w:val="0"/>
          <w:numId w:val="10"/>
        </w:numPr>
        <w:pBdr>
          <w:left w:val="double" w:color="5D85D0"/>
        </w:pBdr>
        <w:ind w:left="288" w:right="288"/>
      </w:pPr>
      <w:r>
        <w:rPr>
          <w:b/>
          <w:bCs/>
        </w:rPr>
        <w:t xml:space="preserve">Streamline the initial application process</w:t>
      </w:r>
      <w:r>
        <w:t xml:space="preserve">. One page: tasks, budget, qualifications. That’s it! Details later! Don’t make grantees answer 17 questions and develop a 50 page proposal for funding they may have a small change of securing. That’s not fair to them or reviewers.</w:t>
      </w:r>
    </w:p>
    <w:p>
      <w:pPr>
        <w:pStyle w:val="ListParagraph"/>
        <w:numPr>
          <w:ilvl w:val="0"/>
          <w:numId w:val="10"/>
        </w:numPr>
      </w:pPr>
      <w:r>
        <w:rPr>
          <w:b/>
          <w:bCs/>
        </w:rPr>
        <w:t xml:space="preserve">Consider participatory grant-making</w:t>
      </w:r>
      <w:r>
        <w:t xml:space="preserve">. What if we flattened the decision-making for who gets funding and included grantees in that process. What if grantmaking by all funders was more transparent and less opaque? Maybe this would require more time up front by funders, but it could lead to stronger projects and improved connections to grantees.</w:t>
      </w:r>
    </w:p>
    <w:p>
      <w:pPr>
        <w:pStyle w:val="ListParagraph"/>
        <w:numPr>
          <w:ilvl w:val="0"/>
          <w:numId w:val="10"/>
        </w:numPr>
      </w:pPr>
      <w:r>
        <w:rPr>
          <w:b/>
          <w:bCs/>
        </w:rPr>
        <w:t xml:space="preserve">Rethink proposal forms</w:t>
      </w:r>
      <w:r>
        <w:t xml:space="preserve">. Consider providing templates in word or pdf format that grantees can fill out then upload the saved docs to your grant portal instead of using online forms that require filling out each section before moving on to the next. No one should have to cut and paste their proposal to submit it online; that is so 1990s. Look for others ways to automate this process with grantees.</w:t>
      </w:r>
    </w:p>
    <w:p>
      <w:pPr>
        <w:pStyle w:val="ListParagraph"/>
        <w:numPr>
          <w:ilvl w:val="0"/>
          <w:numId w:val="10"/>
        </w:numPr>
      </w:pPr>
      <w:r>
        <w:rPr>
          <w:b/>
          <w:bCs/>
        </w:rPr>
        <w:t xml:space="preserve">Shorten RFPs</w:t>
      </w:r>
      <w:r>
        <w:t xml:space="preserve">. RFPS in excess of 20 pages make it difficult for grantees to get to translate to proposals. List what you want, how much to apply for, and leave the legalese for funding recipients, e.g., don’t include pages of appendices with contracts and required forms. The legal documentation can have a link online and providing other key documents, e.g., model budget or scope could be made available.</w:t>
      </w:r>
    </w:p>
    <w:p>
      <w:pPr>
        <w:pStyle w:val="ListParagraph"/>
        <w:numPr>
          <w:ilvl w:val="0"/>
          <w:numId w:val="10"/>
        </w:numPr>
      </w:pPr>
      <w:r>
        <w:rPr>
          <w:b/>
          <w:bCs/>
        </w:rPr>
        <w:t xml:space="preserve">Set realistic due dates</w:t>
      </w:r>
      <w:r>
        <w:t xml:space="preserve">. Not January 2 or the week after Thanksgiving or even during the summer school holidays. Also don’t release RFPs on December 23rd, that’s verging on Ebenezer Scrooge behavior. These due dates aren’t made up, we have experienced this for grants and heard from partners about the same.</w:t>
      </w:r>
    </w:p>
    <w:p/>
    <w:p>
      <w:pPr>
        <w:pStyle w:val="Heading2"/>
      </w:pPr>
      <w:r>
        <w:t xml:space="preserve">Startup pathways</w:t>
      </w:r>
    </w:p>
    <w:p>
      <w:r>
        <w:t xml:space="preserve">discuss the development pathway/stages/steps, the types of expertise that are needed to support a project achieving these steps, common pitfalls or hurdles, example projects/case studies, grant funding opportunities to support project development, free TA resources, etc. I don’t think we should dive into pitch decks and success monitoring because these are associated with late stage development.</w:t>
      </w:r>
    </w:p>
    <w:p>
      <w:pPr>
        <w:pStyle w:val="Heading3"/>
      </w:pPr>
      <w:r>
        <w:t xml:space="preserve">I. Concept</w:t>
      </w:r>
    </w:p>
    <w:p>
      <w:r>
        <w:t xml:space="preserve">The concept stage is brainstorming or coming up with the idea that solves a key problem. It is the spitballing stage for the initial ideas that precedes the pre-feasibility stage. Once you get this down on your napking, it’s then critical to stress test it, share it with key people and users to see if it really will be used.</w:t>
      </w:r>
    </w:p>
    <w:p>
      <w:pPr>
        <w:pStyle w:val="Heading3"/>
      </w:pPr>
      <w:r>
        <w:t xml:space="preserve">II. Pre-feasibility</w:t>
      </w:r>
    </w:p>
    <w:p>
      <w:r>
        <w:t xml:space="preserve">In addition to seeing if your idea will work, pre-feasibility should look at a number of items from basic project or program outline to financials and permitting. Some items to consider include the following:</w:t>
      </w:r>
    </w:p>
    <w:p>
      <w:pPr>
        <w:pStyle w:val="ListParagraph"/>
        <w:numPr>
          <w:ilvl w:val="0"/>
          <w:numId w:val="11"/>
        </w:numPr>
      </w:pPr>
      <w:r>
        <w:t xml:space="preserve">Establishing a vision and project concept, goals and objectives</w:t>
      </w:r>
    </w:p>
    <w:p>
      <w:pPr>
        <w:pStyle w:val="ListParagraph"/>
        <w:numPr>
          <w:ilvl w:val="0"/>
          <w:numId w:val="11"/>
        </w:numPr>
      </w:pPr>
      <w:r>
        <w:t xml:space="preserve">Identification of technology options and preferred option</w:t>
      </w:r>
    </w:p>
    <w:p>
      <w:pPr>
        <w:pStyle w:val="ListParagraph"/>
        <w:numPr>
          <w:ilvl w:val="0"/>
          <w:numId w:val="11"/>
        </w:numPr>
      </w:pPr>
      <w:r>
        <w:t xml:space="preserve">Site and infrastructure evaluation</w:t>
      </w:r>
    </w:p>
    <w:p>
      <w:pPr>
        <w:pStyle w:val="ListParagraph"/>
        <w:numPr>
          <w:ilvl w:val="0"/>
          <w:numId w:val="11"/>
        </w:numPr>
      </w:pPr>
      <w:r>
        <w:t xml:space="preserve">Feedstock volume and pricing assessment</w:t>
      </w:r>
    </w:p>
    <w:p>
      <w:pPr>
        <w:pStyle w:val="ListParagraph"/>
        <w:numPr>
          <w:ilvl w:val="0"/>
          <w:numId w:val="11"/>
        </w:numPr>
      </w:pPr>
      <w:r>
        <w:t xml:space="preserve">Identification of the permitting pathway</w:t>
      </w:r>
    </w:p>
    <w:p>
      <w:pPr>
        <w:pStyle w:val="ListParagraph"/>
        <w:numPr>
          <w:ilvl w:val="0"/>
          <w:numId w:val="11"/>
        </w:numPr>
      </w:pPr>
      <w:r>
        <w:t xml:space="preserve">High level financial analysis (capex, opex, potential sources of capital, market demand/pricing, sensitivities)</w:t>
      </w:r>
    </w:p>
    <w:p>
      <w:pPr>
        <w:pStyle w:val="ListParagraph"/>
        <w:numPr>
          <w:ilvl w:val="0"/>
          <w:numId w:val="11"/>
        </w:numPr>
      </w:pPr>
      <w:r>
        <w:t xml:space="preserve">Partner mapping/initial engagement</w:t>
      </w:r>
    </w:p>
    <w:p>
      <w:pPr>
        <w:pStyle w:val="ListParagraph"/>
        <w:numPr>
          <w:ilvl w:val="0"/>
          <w:numId w:val="11"/>
        </w:numPr>
      </w:pPr>
      <w:r>
        <w:t xml:space="preserve">Establishing a preliminary project schedule</w:t>
      </w:r>
    </w:p>
    <w:p>
      <w:r>
        <w:t xml:space="preserve">Pre-feasibility is really about testing the concept and if you can check these boxes, it’s time to move to feasibility and deepening your analysis.</w:t>
      </w:r>
    </w:p>
    <w:p>
      <w:pPr>
        <w:pStyle w:val="Heading3"/>
      </w:pPr>
      <w:r>
        <w:t xml:space="preserve">III. Feasiblity</w:t>
      </w:r>
    </w:p>
    <w:p>
      <w:r>
        <w:t xml:space="preserve">Some businesse hire consultants to help with feasbility finances, market analysis and securing feedstock supplies or permits. Some other items to consider include</w:t>
      </w:r>
    </w:p>
    <w:p>
      <w:pPr>
        <w:pStyle w:val="ListParagraph"/>
        <w:numPr>
          <w:ilvl w:val="0"/>
          <w:numId w:val="12"/>
        </w:numPr>
      </w:pPr>
      <w:r>
        <w:t xml:space="preserve">Securing site control</w:t>
      </w:r>
    </w:p>
    <w:p>
      <w:pPr>
        <w:pStyle w:val="ListParagraph"/>
        <w:numPr>
          <w:ilvl w:val="0"/>
          <w:numId w:val="12"/>
        </w:numPr>
      </w:pPr>
      <w:r>
        <w:t xml:space="preserve">Preliminary engineering and design for the preferred tech, and a third party review of it</w:t>
      </w:r>
    </w:p>
    <w:p>
      <w:pPr>
        <w:pStyle w:val="ListParagraph"/>
        <w:numPr>
          <w:ilvl w:val="0"/>
          <w:numId w:val="12"/>
        </w:numPr>
      </w:pPr>
      <w:r>
        <w:t xml:space="preserve">Detailed financial analysis</w:t>
      </w:r>
    </w:p>
    <w:p>
      <w:pPr>
        <w:pStyle w:val="ListParagraph"/>
        <w:numPr>
          <w:ilvl w:val="0"/>
          <w:numId w:val="12"/>
        </w:numPr>
      </w:pPr>
      <w:r>
        <w:t xml:space="preserve">Establishing the appropriate business structure</w:t>
      </w:r>
    </w:p>
    <w:p>
      <w:pPr>
        <w:pStyle w:val="ListParagraph"/>
        <w:numPr>
          <w:ilvl w:val="0"/>
          <w:numId w:val="12"/>
        </w:numPr>
      </w:pPr>
      <w:r>
        <w:t xml:space="preserve">Further feedstock and market analyses, if needed</w:t>
      </w:r>
    </w:p>
    <w:p>
      <w:pPr>
        <w:pStyle w:val="ListParagraph"/>
        <w:numPr>
          <w:ilvl w:val="0"/>
          <w:numId w:val="12"/>
        </w:numPr>
      </w:pPr>
      <w:r>
        <w:t xml:space="preserve">Securing feedstock supply letters of intent/contracts</w:t>
      </w:r>
    </w:p>
    <w:p>
      <w:pPr>
        <w:pStyle w:val="ListParagraph"/>
        <w:numPr>
          <w:ilvl w:val="0"/>
          <w:numId w:val="12"/>
        </w:numPr>
      </w:pPr>
      <w:r>
        <w:t xml:space="preserve">Securing offtake letters of intent/contracts</w:t>
      </w:r>
    </w:p>
    <w:p>
      <w:pPr>
        <w:pStyle w:val="ListParagraph"/>
        <w:numPr>
          <w:ilvl w:val="0"/>
          <w:numId w:val="12"/>
        </w:numPr>
      </w:pPr>
      <w:r>
        <w:t xml:space="preserve">Identification and initial pursuit of capital stack</w:t>
      </w:r>
    </w:p>
    <w:p>
      <w:pPr>
        <w:pStyle w:val="ListParagraph"/>
        <w:numPr>
          <w:ilvl w:val="0"/>
          <w:numId w:val="12"/>
        </w:numPr>
      </w:pPr>
      <w:r>
        <w:t xml:space="preserve">Refine and maintain the Gantt</w:t>
      </w:r>
    </w:p>
    <w:p>
      <w:pPr>
        <w:pStyle w:val="ListParagraph"/>
        <w:numPr>
          <w:ilvl w:val="0"/>
          <w:numId w:val="12"/>
        </w:numPr>
      </w:pPr>
      <w:r>
        <w:t xml:space="preserve">Partner/stakeholder engagement</w:t>
      </w:r>
    </w:p>
    <w:p>
      <w:pPr>
        <w:pStyle w:val="ListParagraph"/>
        <w:numPr>
          <w:ilvl w:val="0"/>
          <w:numId w:val="12"/>
        </w:numPr>
      </w:pPr>
      <w:r>
        <w:t xml:space="preserve">Develop pitch deck, white paper, and web landing page</w:t>
      </w:r>
    </w:p>
    <w:p>
      <w:r>
        <w:t xml:space="preserve">Continuing to deepen the project or business financial analysis is critical at this stage.</w:t>
      </w:r>
    </w:p>
    <w:p>
      <w:r>
        <w:t xml:space="preserve">Another critical component is securing a site and working with local agencies, the county, and other compliance authorities to secure permitting needs. Permits can torpedo any project and having these in hand or well down a pathway of being completed is critical here.</w:t>
      </w:r>
    </w:p>
    <w:p>
      <w:pPr>
        <w:pStyle w:val="Heading3"/>
      </w:pPr>
      <w:r>
        <w:t xml:space="preserve">IV. Late-stage</w:t>
      </w:r>
    </w:p>
    <w:p>
      <w:r>
        <w:t xml:space="preserve">Steps in this stage are the final touches to put your planning and feasibility analyses for the project in place and prepare the organization for implementation. Some final steps include</w:t>
      </w:r>
    </w:p>
    <w:p>
      <w:pPr>
        <w:pStyle w:val="ListParagraph"/>
        <w:numPr>
          <w:ilvl w:val="0"/>
          <w:numId w:val="13"/>
        </w:numPr>
      </w:pPr>
      <w:r>
        <w:t xml:space="preserve">Final engineering/design</w:t>
      </w:r>
    </w:p>
    <w:p>
      <w:pPr>
        <w:pStyle w:val="ListParagraph"/>
        <w:numPr>
          <w:ilvl w:val="0"/>
          <w:numId w:val="13"/>
        </w:numPr>
      </w:pPr>
      <w:r>
        <w:t xml:space="preserve">Construction and operating permits</w:t>
      </w:r>
    </w:p>
    <w:p>
      <w:pPr>
        <w:pStyle w:val="ListParagraph"/>
        <w:numPr>
          <w:ilvl w:val="0"/>
          <w:numId w:val="13"/>
        </w:numPr>
      </w:pPr>
      <w:r>
        <w:t xml:space="preserve">Complete lender/investor requirements and financial close</w:t>
      </w:r>
    </w:p>
    <w:p>
      <w:pPr>
        <w:pStyle w:val="ListParagraph"/>
        <w:numPr>
          <w:ilvl w:val="0"/>
          <w:numId w:val="13"/>
        </w:numPr>
      </w:pPr>
      <w:r>
        <w:t xml:space="preserve">Establish construction schedule and plan</w:t>
      </w:r>
    </w:p>
    <w:p>
      <w:pPr>
        <w:pStyle w:val="ListParagraph"/>
        <w:numPr>
          <w:ilvl w:val="0"/>
          <w:numId w:val="13"/>
        </w:numPr>
      </w:pPr>
      <w:r>
        <w:t xml:space="preserve">Procure long-lead equipment</w:t>
      </w:r>
    </w:p>
    <w:p>
      <w:pPr>
        <w:pStyle w:val="ListParagraph"/>
        <w:numPr>
          <w:ilvl w:val="0"/>
          <w:numId w:val="13"/>
        </w:numPr>
      </w:pPr>
      <w:r>
        <w:t xml:space="preserve">Hone pitch deck</w:t>
      </w:r>
    </w:p>
    <w:p>
      <w:pPr>
        <w:pStyle w:val="Heading3"/>
      </w:pPr>
      <w:r>
        <w:t xml:space="preserve">V. Implementation</w:t>
      </w:r>
    </w:p>
    <w:p>
      <w:r>
        <w:t xml:space="preserve">Time to take the plunge! Implementation is busy, can completely envelope a business, so don’t forget to pause and reflect and go back to the above make sure you’re implementing how you planned. Check in with and get feedback from, your funders, but also don’t let them micro-manage the project.</w:t>
      </w:r>
    </w:p>
    <w:p>
      <w:pPr>
        <w:pStyle w:val="Heading3"/>
      </w:pPr>
      <w:r>
        <w:t xml:space="preserve">VI. Stock taking</w:t>
      </w:r>
    </w:p>
    <w:p>
      <w:r>
        <w:t xml:space="preserve">We recommend stock-taking and results analysis at each of the startup pathways stages. It’s also a good idea to analyze outcomes annually, determine learning from those outcomes, and make adjustments. Communicating to your key funders and audiences about this process and your learning is an open and honest way to gain support and feedback for the work and process being undertaken.</w:t>
      </w:r>
    </w:p>
    <w:p>
      <w:pPr>
        <w:pStyle w:val="Heading2"/>
      </w:pPr>
      <w:r>
        <w:t xml:space="preserve">Resources</w:t>
      </w:r>
    </w:p>
    <w:p>
      <w:pPr>
        <w:pStyle w:val="ListParagraph"/>
        <w:numPr>
          <w:ilvl w:val="0"/>
          <w:numId w:val="14"/>
        </w:numPr>
      </w:pPr>
      <w:r>
        <w:rPr>
          <w:b/>
          <w:bCs/>
        </w:rPr>
        <w:t xml:space="preserve">Forest Business Alliance Startup Pathways Workshops</w:t>
      </w:r>
      <w:r>
        <w:t xml:space="preserve">. FBA held a series of startup pathways workshops focused on mobile modular wood processing, startup pathways, and financing options in the middle of March 2026. This chapter is a summary of the key points during those workshops. The finance portion of the workshop is available as a recording on the FBA YouTube Channel. Please see the </w:t>
      </w:r>
      <w:hyperlink w:history="1" r:id="rIdpyu5evigd80bke3g6-gty">
        <w:r>
          <w:rPr>
            <w:rStyle w:val="Hyperlink"/>
          </w:rPr>
          <w:t xml:space="preserve">workshops</w:t>
        </w:r>
      </w:hyperlink>
      <w:r>
        <w:t xml:space="preserve"> page of the FBA website for links to the recording and agendas.</w:t>
      </w:r>
    </w:p>
    <w:p>
      <w:pPr>
        <w:pStyle w:val="ListParagraph"/>
        <w:numPr>
          <w:ilvl w:val="0"/>
          <w:numId w:val="14"/>
        </w:numPr>
      </w:pPr>
      <w:r>
        <w:rPr>
          <w:b/>
          <w:bCs/>
        </w:rPr>
        <w:t xml:space="preserve">Wood Products Campus Siting and Financial Risk Analysis</w:t>
      </w:r>
      <w:r>
        <w:t xml:space="preserve">. As part of the South Central Sierra feedstock aggregation pilot project (</w:t>
      </w:r>
      <w:hyperlink w:history="1" r:id="rIdzhmllrxcoyfczkre8dahu">
        <w:r>
          <w:rPr>
            <w:rStyle w:val="Hyperlink"/>
          </w:rPr>
          <w:t xml:space="preserve">https://​californiaforestproducts​.org​/fapps/</w:t>
        </w:r>
      </w:hyperlink>
      <w:r>
        <w:t xml:space="preserve">) sponsored by the California Governor’s Office of Land Use and Climate Innovation (LCI), Wildephor Consulting Services has published a siting and financial risk analysis </w:t>
      </w:r>
      <w:hyperlink w:history="1" r:id="rIdcikuuljkrfqhcfcauam8_">
        <w:r>
          <w:rPr>
            <w:rStyle w:val="Hyperlink"/>
          </w:rPr>
          <w:t xml:space="preserve">report</w:t>
        </w:r>
      </w:hyperlink>
      <w:r>
        <w:t xml:space="preserve">. The study included three elements: 1) a biomass feedstock supply analysis; 2) a biomass feedstock storage model; and 3) a biomass project financial risk analysis to produce the Biomass Utilization Financial Feasibility and Sensitivity (BUFFSTM) analysis.</w:t>
      </w:r>
    </w:p>
    <w:p>
      <w:pPr>
        <w:pStyle w:val="ListParagraph"/>
        <w:numPr>
          <w:ilvl w:val="0"/>
          <w:numId w:val="14"/>
        </w:numPr>
      </w:pPr>
      <w:r>
        <w:rPr>
          <w:b/>
          <w:bCs/>
        </w:rPr>
        <w:t xml:space="preserve">Feedstock Pilots</w:t>
      </w:r>
      <w:r>
        <w:t xml:space="preserve">. The Governor’s office of Land Use and Climate Innovation funded 5 </w:t>
      </w:r>
      <w:hyperlink w:history="1" r:id="rIdwax3y0slfhbi_6yxhoz1o">
        <w:r>
          <w:rPr>
            <w:rStyle w:val="Hyperlink"/>
          </w:rPr>
          <w:t xml:space="preserve">feedstock aggregation pilots</w:t>
        </w:r>
      </w:hyperlink>
      <w:r>
        <w:t xml:space="preserve"> to accelerate the long-term availability of wood feedstock for processing into a variety of products. Several of the pilots formed </w:t>
      </w:r>
      <w:hyperlink w:history="1" r:id="rIdwp4pi2fkgea4p0qccrqbv">
        <w:r>
          <w:rPr>
            <w:rStyle w:val="Hyperlink"/>
          </w:rPr>
          <w:t xml:space="preserve">Joint Powers Authorities</w:t>
        </w:r>
      </w:hyperlink>
      <w:r>
        <w:t xml:space="preserve"> to create local entities that help enable long-term feedstock contracts. The formation of these entities is instructive for startups and links to them useful to the same to sustainably source wood.</w:t>
      </w:r>
    </w:p>
    <w:p>
      <w:pPr>
        <w:pStyle w:val="Heading2"/>
      </w:pPr>
      <w:r>
        <w:t xml:space="preserve">References</w:t>
      </w:r>
    </w:p>
    <w:p>
      <w:r>
        <w:t xml:space="preserve">Swezy, C. (2025). </w:t>
      </w:r>
      <w:r>
        <w:rPr>
          <w:i/>
          <w:iCs/>
        </w:rPr>
        <w:t xml:space="preserve">A case study of J&amp;C Lumber: Successes, challenges, and lessons learned in launching a small-scale sawmill for wildlfire recovery</w:t>
      </w:r>
      <w:r>
        <w:t xml:space="preserve">. CALFIRE Business. </w:t>
      </w:r>
      <w:hyperlink w:history="1" r:id="rIdusczz0rpnyhy0mi8rbkbs">
        <w:r>
          <w:rPr>
            <w:rStyle w:val="Hyperlink"/>
          </w:rPr>
          <w:t xml:space="preserve">https://calfire-umb05.azurewebsites.net/media/1pygldxy/j-c-lumber-case-study_january-2025-final-report.pdf</w:t>
        </w:r>
      </w:hyperlink>
    </w:p>
    <w:sectPr>
      <w:footerReference w:type="default" r:id="rId6"/>
      <w:type w:val="continuous"/>
      <w:pgSz w:w="11906" w:h="16838" w:orient="portrait"/>
      <w:pgMar w:top="1in" w:right="1in" w:bottom="1in" w:left="1in"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t xml:space="preserve">Created with </w:t>
    </w:r>
    <w:r>
      <w:drawing>
        <wp:inline distT="0" distB="0" distL="0" distR="0">
          <wp:extent cx="608542" cy="105833"/>
          <wp:effectExtent b="0" l="0" r="0" t="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608542" cy="105833"/>
                  </a:xfrm>
                  <a:prstGeom prst="rect">
                    <a:avLst/>
                  </a:prstGeom>
                </pic:spPr>
              </pic:pic>
            </a:graphicData>
          </a:graphic>
        </wp:inline>
      </w:drawing>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3" w15:restartNumberingAfterBreak="0">
    <w:multiLevelType w:val="hybridMultilevel"/>
    <w:lvl w:ilvl="0" w15:tentative="1">
      <w:start w:val="1"/>
      <w:numFmt w:val="decimal"/>
      <w:lvlText w:val="%1."/>
      <w:lvlJc w:val="start"/>
      <w:pPr>
        <w:ind w:left="720" w:hanging="259"/>
      </w:pPr>
    </w:lvl>
    <w:lvl w:ilvl="1" w15:tentative="1">
      <w:start w:val="1"/>
      <w:numFmt w:val="lowerLetter"/>
      <w:lvlText w:val="%2."/>
      <w:lvlJc w:val="start"/>
      <w:pPr>
        <w:ind w:left="1440" w:hanging="259"/>
      </w:pPr>
    </w:lvl>
    <w:lvl w:ilvl="2" w15:tentative="1">
      <w:start w:val="1"/>
      <w:numFmt w:val="lowerRoman"/>
      <w:lvlText w:val="%3."/>
      <w:lvlJc w:val="start"/>
      <w:pPr>
        <w:ind w:left="2160" w:hanging="259"/>
      </w:pPr>
    </w:lvl>
    <w:lvl w:ilvl="3" w15:tentative="1">
      <w:start w:val="1"/>
      <w:numFmt w:val="decimal"/>
      <w:lvlText w:val="%4."/>
      <w:lvlJc w:val="start"/>
      <w:pPr>
        <w:ind w:left="2880" w:hanging="259"/>
      </w:pPr>
    </w:lvl>
    <w:lvl w:ilvl="4" w15:tentative="1">
      <w:start w:val="1"/>
      <w:numFmt w:val="lowerLetter"/>
      <w:lvlText w:val="%5."/>
      <w:lvlJc w:val="start"/>
      <w:pPr>
        <w:ind w:left="3600" w:hanging="259"/>
      </w:pPr>
    </w:lvl>
    <w:lvl w:ilvl="5" w15:tentative="1">
      <w:start w:val="1"/>
      <w:numFmt w:val="lowerRoman"/>
      <w:lvlText w:val="%6."/>
      <w:lvlJc w:val="start"/>
      <w:pPr>
        <w:ind w:left="4320" w:hanging="259"/>
      </w:pPr>
    </w:lvl>
    <w:lvl w:ilvl="6" w15:tentative="1">
      <w:start w:val="1"/>
      <w:numFmt w:val="decimal"/>
      <w:lvlText w:val="%7."/>
      <w:lvlJc w:val="start"/>
      <w:pPr>
        <w:ind w:left="5040" w:hanging="259"/>
      </w:pPr>
    </w:lvl>
    <w:lvl w:ilvl="7" w15:tentative="1">
      <w:start w:val="1"/>
      <w:numFmt w:val="lowerLetter"/>
      <w:lvlText w:val="%8."/>
      <w:lvlJc w:val="start"/>
      <w:pPr>
        <w:ind w:left="5760" w:hanging="259"/>
      </w:pPr>
    </w:lvl>
    <w:lvl w:ilvl="8" w15:tentative="1">
      <w:start w:val="1"/>
      <w:numFmt w:val="lowerRoman"/>
      <w:lvlText w:val="%9."/>
      <w:lvlJc w:val="start"/>
      <w:pPr>
        <w:ind w:left="6480" w:hanging="259"/>
      </w:pPr>
    </w:lvl>
  </w:abstractNum>
  <w:abstractNum w:abstractNumId="4" w15:restartNumberingAfterBreak="0">
    <w:multiLevelType w:val="hybridMultilevel"/>
    <w:lvl w:ilvl="0" w15:tentative="1">
      <w:start w:val="1"/>
      <w:numFmt w:val="decimal"/>
      <w:lvlText w:val="%1."/>
      <w:lvlJc w:val="start"/>
      <w:pPr>
        <w:ind w:left="720" w:hanging="259"/>
      </w:pPr>
    </w:lvl>
    <w:lvl w:ilvl="1" w15:tentative="1">
      <w:start w:val="1"/>
      <w:numFmt w:val="lowerLetter"/>
      <w:lvlText w:val="%2."/>
      <w:lvlJc w:val="start"/>
      <w:pPr>
        <w:ind w:left="1440" w:hanging="259"/>
      </w:pPr>
    </w:lvl>
    <w:lvl w:ilvl="2" w15:tentative="1">
      <w:start w:val="1"/>
      <w:numFmt w:val="lowerRoman"/>
      <w:lvlText w:val="%3."/>
      <w:lvlJc w:val="start"/>
      <w:pPr>
        <w:ind w:left="2160" w:hanging="259"/>
      </w:pPr>
    </w:lvl>
    <w:lvl w:ilvl="3" w15:tentative="1">
      <w:start w:val="1"/>
      <w:numFmt w:val="decimal"/>
      <w:lvlText w:val="%4."/>
      <w:lvlJc w:val="start"/>
      <w:pPr>
        <w:ind w:left="2880" w:hanging="259"/>
      </w:pPr>
    </w:lvl>
    <w:lvl w:ilvl="4" w15:tentative="1">
      <w:start w:val="1"/>
      <w:numFmt w:val="lowerLetter"/>
      <w:lvlText w:val="%5."/>
      <w:lvlJc w:val="start"/>
      <w:pPr>
        <w:ind w:left="3600" w:hanging="259"/>
      </w:pPr>
    </w:lvl>
    <w:lvl w:ilvl="5" w15:tentative="1">
      <w:start w:val="1"/>
      <w:numFmt w:val="lowerRoman"/>
      <w:lvlText w:val="%6."/>
      <w:lvlJc w:val="start"/>
      <w:pPr>
        <w:ind w:left="4320" w:hanging="259"/>
      </w:pPr>
    </w:lvl>
    <w:lvl w:ilvl="6" w15:tentative="1">
      <w:start w:val="1"/>
      <w:numFmt w:val="decimal"/>
      <w:lvlText w:val="%7."/>
      <w:lvlJc w:val="start"/>
      <w:pPr>
        <w:ind w:left="5040" w:hanging="259"/>
      </w:pPr>
    </w:lvl>
    <w:lvl w:ilvl="7" w15:tentative="1">
      <w:start w:val="1"/>
      <w:numFmt w:val="lowerLetter"/>
      <w:lvlText w:val="%8."/>
      <w:lvlJc w:val="start"/>
      <w:pPr>
        <w:ind w:left="5760" w:hanging="259"/>
      </w:pPr>
    </w:lvl>
    <w:lvl w:ilvl="8" w15:tentative="1">
      <w:start w:val="1"/>
      <w:numFmt w:val="lowerRoman"/>
      <w:lvlText w:val="%9."/>
      <w:lvlJc w:val="start"/>
      <w:pPr>
        <w:ind w:left="6480" w:hanging="259"/>
      </w:pPr>
    </w:lvl>
  </w:abstractNum>
  <w:abstractNum w:abstractNumId="5" w15:restartNumberingAfterBreak="0">
    <w:multiLevelType w:val="hybridMultilevel"/>
    <w:lvl w:ilvl="0" w15:tentative="1">
      <w:start w:val="1"/>
      <w:numFmt w:val="bullet"/>
      <w:lvlText w:val="●"/>
      <w:lvlJc w:val="start"/>
      <w:pPr>
        <w:ind w:left="720" w:hanging="259"/>
      </w:pPr>
    </w:lvl>
    <w:lvl w:ilvl="1" w15:tentative="1">
      <w:start w:val="1"/>
      <w:numFmt w:val="bullet"/>
      <w:lvlText w:val="○"/>
      <w:lvlJc w:val="start"/>
      <w:pPr>
        <w:ind w:left="1440" w:hanging="259"/>
      </w:pPr>
    </w:lvl>
    <w:lvl w:ilvl="2" w15:tentative="1">
      <w:start w:val="1"/>
      <w:numFmt w:val="bullet"/>
      <w:lvlText w:val="■"/>
      <w:lvlJc w:val="start"/>
      <w:pPr>
        <w:ind w:left="2160" w:hanging="259"/>
      </w:pPr>
    </w:lvl>
    <w:lvl w:ilvl="3" w15:tentative="1">
      <w:start w:val="1"/>
      <w:numFmt w:val="bullet"/>
      <w:lvlText w:val="●"/>
      <w:lvlJc w:val="start"/>
      <w:pPr>
        <w:ind w:left="2880" w:hanging="259"/>
      </w:pPr>
    </w:lvl>
    <w:lvl w:ilvl="4" w15:tentative="1">
      <w:start w:val="1"/>
      <w:numFmt w:val="bullet"/>
      <w:lvlText w:val="○"/>
      <w:lvlJc w:val="start"/>
      <w:pPr>
        <w:ind w:left="3600" w:hanging="259"/>
      </w:pPr>
    </w:lvl>
    <w:lvl w:ilvl="5" w15:tentative="1">
      <w:start w:val="1"/>
      <w:numFmt w:val="bullet"/>
      <w:lvlText w:val="■"/>
      <w:lvlJc w:val="start"/>
      <w:pPr>
        <w:ind w:left="4320" w:hanging="259"/>
      </w:pPr>
    </w:lvl>
    <w:lvl w:ilvl="6" w15:tentative="1">
      <w:start w:val="1"/>
      <w:numFmt w:val="bullet"/>
      <w:lvlText w:val="●"/>
      <w:lvlJc w:val="start"/>
      <w:pPr>
        <w:ind w:left="5040" w:hanging="259"/>
      </w:pPr>
    </w:lvl>
    <w:lvl w:ilvl="7" w15:tentative="1">
      <w:start w:val="1"/>
      <w:numFmt w:val="bullet"/>
      <w:lvlText w:val="○"/>
      <w:lvlJc w:val="start"/>
      <w:pPr>
        <w:ind w:left="5760" w:hanging="259"/>
      </w:pPr>
    </w:lvl>
    <w:lvl w:ilvl="8" w15:tentative="1">
      <w:start w:val="1"/>
      <w:numFmt w:val="bullet"/>
      <w:lvlText w:val="■"/>
      <w:lvlJc w:val="start"/>
      <w:pPr>
        <w:ind w:left="6480" w:hanging="259"/>
      </w:pPr>
    </w:lvl>
  </w:abstractNum>
  <w:abstractNum w:abstractNumId="6" w15:restartNumberingAfterBreak="0">
    <w:multiLevelType w:val="hybridMultilevel"/>
    <w:lvl w:ilvl="0" w15:tentative="1">
      <w:start w:val="1"/>
      <w:numFmt w:val="bullet"/>
      <w:lvlText w:val="●"/>
      <w:lvlJc w:val="start"/>
      <w:pPr>
        <w:ind w:left="720" w:hanging="259"/>
      </w:pPr>
    </w:lvl>
    <w:lvl w:ilvl="1" w15:tentative="1">
      <w:start w:val="1"/>
      <w:numFmt w:val="bullet"/>
      <w:lvlText w:val="○"/>
      <w:lvlJc w:val="start"/>
      <w:pPr>
        <w:ind w:left="1440" w:hanging="259"/>
      </w:pPr>
    </w:lvl>
    <w:lvl w:ilvl="2" w15:tentative="1">
      <w:start w:val="1"/>
      <w:numFmt w:val="bullet"/>
      <w:lvlText w:val="■"/>
      <w:lvlJc w:val="start"/>
      <w:pPr>
        <w:ind w:left="2160" w:hanging="259"/>
      </w:pPr>
    </w:lvl>
    <w:lvl w:ilvl="3" w15:tentative="1">
      <w:start w:val="1"/>
      <w:numFmt w:val="bullet"/>
      <w:lvlText w:val="●"/>
      <w:lvlJc w:val="start"/>
      <w:pPr>
        <w:ind w:left="2880" w:hanging="259"/>
      </w:pPr>
    </w:lvl>
    <w:lvl w:ilvl="4" w15:tentative="1">
      <w:start w:val="1"/>
      <w:numFmt w:val="bullet"/>
      <w:lvlText w:val="○"/>
      <w:lvlJc w:val="start"/>
      <w:pPr>
        <w:ind w:left="3600" w:hanging="259"/>
      </w:pPr>
    </w:lvl>
    <w:lvl w:ilvl="5" w15:tentative="1">
      <w:start w:val="1"/>
      <w:numFmt w:val="bullet"/>
      <w:lvlText w:val="■"/>
      <w:lvlJc w:val="start"/>
      <w:pPr>
        <w:ind w:left="4320" w:hanging="259"/>
      </w:pPr>
    </w:lvl>
    <w:lvl w:ilvl="6" w15:tentative="1">
      <w:start w:val="1"/>
      <w:numFmt w:val="bullet"/>
      <w:lvlText w:val="●"/>
      <w:lvlJc w:val="start"/>
      <w:pPr>
        <w:ind w:left="5040" w:hanging="259"/>
      </w:pPr>
    </w:lvl>
    <w:lvl w:ilvl="7" w15:tentative="1">
      <w:start w:val="1"/>
      <w:numFmt w:val="bullet"/>
      <w:lvlText w:val="○"/>
      <w:lvlJc w:val="start"/>
      <w:pPr>
        <w:ind w:left="5760" w:hanging="259"/>
      </w:pPr>
    </w:lvl>
    <w:lvl w:ilvl="8" w15:tentative="1">
      <w:start w:val="1"/>
      <w:numFmt w:val="bullet"/>
      <w:lvlText w:val="■"/>
      <w:lvlJc w:val="start"/>
      <w:pPr>
        <w:ind w:left="6480" w:hanging="259"/>
      </w:pPr>
    </w:lvl>
  </w:abstractNum>
  <w:abstractNum w:abstractNumId="7" w15:restartNumberingAfterBreak="0">
    <w:multiLevelType w:val="hybridMultilevel"/>
    <w:lvl w:ilvl="0" w15:tentative="1">
      <w:start w:val="1"/>
      <w:numFmt w:val="bullet"/>
      <w:lvlText w:val="●"/>
      <w:lvlJc w:val="start"/>
      <w:pPr>
        <w:ind w:left="720" w:hanging="259"/>
      </w:pPr>
    </w:lvl>
    <w:lvl w:ilvl="1" w15:tentative="1">
      <w:start w:val="1"/>
      <w:numFmt w:val="bullet"/>
      <w:lvlText w:val="○"/>
      <w:lvlJc w:val="start"/>
      <w:pPr>
        <w:ind w:left="1440" w:hanging="259"/>
      </w:pPr>
    </w:lvl>
    <w:lvl w:ilvl="2" w15:tentative="1">
      <w:start w:val="1"/>
      <w:numFmt w:val="bullet"/>
      <w:lvlText w:val="■"/>
      <w:lvlJc w:val="start"/>
      <w:pPr>
        <w:ind w:left="2160" w:hanging="259"/>
      </w:pPr>
    </w:lvl>
    <w:lvl w:ilvl="3" w15:tentative="1">
      <w:start w:val="1"/>
      <w:numFmt w:val="bullet"/>
      <w:lvlText w:val="●"/>
      <w:lvlJc w:val="start"/>
      <w:pPr>
        <w:ind w:left="2880" w:hanging="259"/>
      </w:pPr>
    </w:lvl>
    <w:lvl w:ilvl="4" w15:tentative="1">
      <w:start w:val="1"/>
      <w:numFmt w:val="bullet"/>
      <w:lvlText w:val="○"/>
      <w:lvlJc w:val="start"/>
      <w:pPr>
        <w:ind w:left="3600" w:hanging="259"/>
      </w:pPr>
    </w:lvl>
    <w:lvl w:ilvl="5" w15:tentative="1">
      <w:start w:val="1"/>
      <w:numFmt w:val="bullet"/>
      <w:lvlText w:val="■"/>
      <w:lvlJc w:val="start"/>
      <w:pPr>
        <w:ind w:left="4320" w:hanging="259"/>
      </w:pPr>
    </w:lvl>
    <w:lvl w:ilvl="6" w15:tentative="1">
      <w:start w:val="1"/>
      <w:numFmt w:val="bullet"/>
      <w:lvlText w:val="●"/>
      <w:lvlJc w:val="start"/>
      <w:pPr>
        <w:ind w:left="5040" w:hanging="259"/>
      </w:pPr>
    </w:lvl>
    <w:lvl w:ilvl="7" w15:tentative="1">
      <w:start w:val="1"/>
      <w:numFmt w:val="bullet"/>
      <w:lvlText w:val="○"/>
      <w:lvlJc w:val="start"/>
      <w:pPr>
        <w:ind w:left="5760" w:hanging="259"/>
      </w:pPr>
    </w:lvl>
    <w:lvl w:ilvl="8" w15:tentative="1">
      <w:start w:val="1"/>
      <w:numFmt w:val="bullet"/>
      <w:lvlText w:val="■"/>
      <w:lvlJc w:val="start"/>
      <w:pPr>
        <w:ind w:left="6480" w:hanging="259"/>
      </w:pPr>
    </w:lvl>
  </w:abstractNum>
  <w:abstractNum w:abstractNumId="8" w15:restartNumberingAfterBreak="0">
    <w:multiLevelType w:val="hybridMultilevel"/>
    <w:lvl w:ilvl="0" w15:tentative="1">
      <w:start w:val="1"/>
      <w:numFmt w:val="bullet"/>
      <w:lvlText w:val="●"/>
      <w:lvlJc w:val="start"/>
      <w:pPr>
        <w:ind w:left="720" w:hanging="259"/>
      </w:pPr>
    </w:lvl>
    <w:lvl w:ilvl="1" w15:tentative="1">
      <w:start w:val="1"/>
      <w:numFmt w:val="bullet"/>
      <w:lvlText w:val="○"/>
      <w:lvlJc w:val="start"/>
      <w:pPr>
        <w:ind w:left="1440" w:hanging="259"/>
      </w:pPr>
    </w:lvl>
    <w:lvl w:ilvl="2" w15:tentative="1">
      <w:start w:val="1"/>
      <w:numFmt w:val="bullet"/>
      <w:lvlText w:val="■"/>
      <w:lvlJc w:val="start"/>
      <w:pPr>
        <w:ind w:left="2160" w:hanging="259"/>
      </w:pPr>
    </w:lvl>
    <w:lvl w:ilvl="3" w15:tentative="1">
      <w:start w:val="1"/>
      <w:numFmt w:val="bullet"/>
      <w:lvlText w:val="●"/>
      <w:lvlJc w:val="start"/>
      <w:pPr>
        <w:ind w:left="2880" w:hanging="259"/>
      </w:pPr>
    </w:lvl>
    <w:lvl w:ilvl="4" w15:tentative="1">
      <w:start w:val="1"/>
      <w:numFmt w:val="bullet"/>
      <w:lvlText w:val="○"/>
      <w:lvlJc w:val="start"/>
      <w:pPr>
        <w:ind w:left="3600" w:hanging="259"/>
      </w:pPr>
    </w:lvl>
    <w:lvl w:ilvl="5" w15:tentative="1">
      <w:start w:val="1"/>
      <w:numFmt w:val="bullet"/>
      <w:lvlText w:val="■"/>
      <w:lvlJc w:val="start"/>
      <w:pPr>
        <w:ind w:left="4320" w:hanging="259"/>
      </w:pPr>
    </w:lvl>
    <w:lvl w:ilvl="6" w15:tentative="1">
      <w:start w:val="1"/>
      <w:numFmt w:val="bullet"/>
      <w:lvlText w:val="●"/>
      <w:lvlJc w:val="start"/>
      <w:pPr>
        <w:ind w:left="5040" w:hanging="259"/>
      </w:pPr>
    </w:lvl>
    <w:lvl w:ilvl="7" w15:tentative="1">
      <w:start w:val="1"/>
      <w:numFmt w:val="bullet"/>
      <w:lvlText w:val="○"/>
      <w:lvlJc w:val="start"/>
      <w:pPr>
        <w:ind w:left="5760" w:hanging="259"/>
      </w:pPr>
    </w:lvl>
    <w:lvl w:ilvl="8" w15:tentative="1">
      <w:start w:val="1"/>
      <w:numFmt w:val="bullet"/>
      <w:lvlText w:val="■"/>
      <w:lvlJc w:val="start"/>
      <w:pPr>
        <w:ind w:left="6480" w:hanging="259"/>
      </w:pPr>
    </w:lvl>
  </w:abstractNum>
  <w:num w:numId="1">
    <w:abstractNumId w:val="2"/>
    <w:lvlOverride w:ilvl="0">
      <w:startOverride w:val="1"/>
    </w:lvlOverride>
  </w:num>
  <w:num w:numId="9">
    <w:abstractNumId w:val="3"/>
    <w:lvlOverride w:ilvl="0">
      <w:startOverride w:val="1"/>
    </w:lvlOverride>
  </w:num>
  <w:num w:numId="10">
    <w:abstractNumId w:val="4"/>
    <w:lvlOverride w:ilvl="0">
      <w:startOverride w:val="1"/>
    </w:lvlOverride>
  </w:num>
  <w:num w:numId="11">
    <w:abstractNumId w:val="5"/>
    <w:lvlOverride w:ilvl="0">
      <w:startOverride w:val="1"/>
    </w:lvlOverride>
  </w:num>
  <w:num w:numId="12">
    <w:abstractNumId w:val="6"/>
    <w:lvlOverride w:ilvl="0">
      <w:startOverride w:val="1"/>
    </w:lvlOverride>
  </w:num>
  <w:num w:numId="13">
    <w:abstractNumId w:val="7"/>
    <w:lvlOverride w:ilvl="0">
      <w:startOverride w:val="1"/>
    </w:lvlOverride>
  </w:num>
  <w:num w:numId="14">
    <w:abstractNumId w:val="8"/>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en-CA"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27A94"/>
    <w:pPr>
      <w:spacing w:before="240" w:after="240"/>
      <w:jc w:val="both"/>
    </w:pPr>
  </w:style>
  <w:style w:type="paragraph" w:styleId="Heading1">
    <w:name w:val="heading 1"/>
    <w:uiPriority w:val="9"/>
    <w:qFormat/>
    <w:rsid w:val="0080420D"/>
    <w:pPr>
      <w:spacing w:line="360" w:lineRule="auto"/>
      <w:outlineLvl w:val="0"/>
    </w:pPr>
    <w:rPr>
      <w:rFonts w:asciiTheme="minorHAnsi" w:hAnsiTheme="minorHAnsi"/>
      <w:color w:val="000000" w:themeColor="text1"/>
      <w:sz w:val="32"/>
      <w:szCs w:val="32"/>
    </w:rPr>
  </w:style>
  <w:style w:type="paragraph" w:styleId="Heading2">
    <w:name w:val="heading 2"/>
    <w:uiPriority w:val="9"/>
    <w:unhideWhenUsed/>
    <w:qFormat/>
    <w:rsid w:val="00427A94"/>
    <w:pPr>
      <w:outlineLvl w:val="1"/>
    </w:pPr>
    <w:rPr>
      <w:rFonts w:asciiTheme="minorHAnsi" w:hAnsiTheme="minorHAnsi"/>
      <w:color w:val="2E74B5"/>
      <w:sz w:val="26"/>
      <w:szCs w:val="26"/>
    </w:rPr>
  </w:style>
  <w:style w:type="paragraph" w:styleId="Heading3">
    <w:name w:val="heading 3"/>
    <w:uiPriority w:val="9"/>
    <w:unhideWhenUsed/>
    <w:qFormat/>
    <w:rsid w:val="00427A94"/>
    <w:pPr>
      <w:outlineLvl w:val="2"/>
    </w:pPr>
    <w:rPr>
      <w:rFonts w:asciiTheme="minorHAnsi" w:hAnsiTheme="minorHAnsi"/>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paragraph" w:styleId="Header">
    <w:name w:val="header"/>
    <w:basedOn w:val="Normal"/>
    <w:link w:val="HeaderChar"/>
    <w:uiPriority w:val="99"/>
    <w:unhideWhenUsed/>
    <w:rsid w:val="00191B02"/>
    <w:pPr>
      <w:tabs>
        <w:tab w:val="center" w:pos="4680"/>
        <w:tab w:val="right" w:pos="9360"/>
      </w:tabs>
    </w:pPr>
  </w:style>
  <w:style w:type="character" w:customStyle="1" w:styleId="HeaderChar">
    <w:name w:val="Header Char"/>
    <w:basedOn w:val="DefaultParagraphFont"/>
    <w:link w:val="Header"/>
    <w:uiPriority w:val="99"/>
    <w:rsid w:val="00191B02"/>
  </w:style>
  <w:style w:type="paragraph" w:styleId="Footer">
    <w:name w:val="footer"/>
    <w:basedOn w:val="Normal"/>
    <w:link w:val="FooterChar"/>
    <w:uiPriority w:val="99"/>
    <w:unhideWhenUsed/>
    <w:rsid w:val="00191B02"/>
    <w:pPr>
      <w:tabs>
        <w:tab w:val="center" w:pos="4680"/>
        <w:tab w:val="right" w:pos="9360"/>
      </w:tabs>
    </w:pPr>
  </w:style>
  <w:style w:type="character" w:customStyle="1" w:styleId="FooterChar">
    <w:name w:val="Footer Char"/>
    <w:basedOn w:val="DefaultParagraphFont"/>
    <w:link w:val="Footer"/>
    <w:uiPriority w:val="99"/>
    <w:rsid w:val="00191B02"/>
  </w:style>
  <w:style w:type="paragraph" w:styleId="Subtitle">
    <w:name w:val="Subtitle"/>
    <w:basedOn w:val="Normal"/>
    <w:next w:val="Normal"/>
    <w:link w:val="SubtitleChar"/>
    <w:uiPriority w:val="11"/>
    <w:qFormat/>
    <w:rsid w:val="0080420D"/>
    <w:pPr>
      <w:numPr>
        <w:ilvl w:val="1"/>
      </w:numPr>
      <w:spacing w:before="0" w:after="0" w:line="480" w:lineRule="auto"/>
      <w:jc w:val="left"/>
    </w:pPr>
    <w:rPr>
      <w:rFonts w:asciiTheme="minorHAnsi" w:eastAsiaTheme="minorEastAsia" w:hAnsiTheme="minorHAnsi" w:cstheme="minorBidi"/>
      <w:color w:val="767171" w:themeColor="background2" w:themeShade="80"/>
      <w:spacing w:val="15"/>
      <w:szCs w:val="22"/>
    </w:rPr>
  </w:style>
  <w:style w:type="character" w:customStyle="1" w:styleId="SubtitleChar">
    <w:name w:val="Subtitle Char"/>
    <w:basedOn w:val="DefaultParagraphFont"/>
    <w:link w:val="Subtitle"/>
    <w:uiPriority w:val="11"/>
    <w:rsid w:val="0080420D"/>
    <w:rPr>
      <w:rFonts w:asciiTheme="minorHAnsi" w:eastAsiaTheme="minorEastAsia" w:hAnsiTheme="minorHAnsi" w:cstheme="minorBidi"/>
      <w:color w:val="767171" w:themeColor="background2" w:themeShade="80"/>
      <w:spacing w:val="15"/>
      <w:szCs w:val="22"/>
    </w:rPr>
  </w:style>
  <w:style w:type="paragraph" w:styleId="IntenseQuote">
    <w:name w:val="Intense Quote"/>
    <w:basedOn w:val="Normal"/>
    <w:next w:val="Normal"/>
    <w:link w:val="IntenseQuoteChar"/>
    <w:uiPriority w:val="30"/>
    <w:qFormat/>
    <w:rsid w:val="00C84812"/>
    <w:pPr>
      <w:pBdr>
        <w:top w:val="single" w:sz="4" w:space="10" w:color="4472C4" w:themeColor="accent1"/>
        <w:bottom w:val="single" w:sz="4" w:space="10" w:color="4472C4" w:themeColor="accent1"/>
      </w:pBdr>
      <w:spacing w:before="360" w:after="360" w:line="360" w:lineRule="auto"/>
      <w:ind w:left="864" w:right="864"/>
      <w:jc w:val="center"/>
    </w:pPr>
    <w:rPr>
      <w:i/>
      <w:iCs/>
      <w:color w:val="4472C4" w:themeColor="accent1"/>
    </w:rPr>
  </w:style>
  <w:style w:type="character" w:customStyle="1" w:styleId="IntenseQuoteChar">
    <w:name w:val="Intense Quote Char"/>
    <w:basedOn w:val="DefaultParagraphFont"/>
    <w:link w:val="IntenseQuote"/>
    <w:uiPriority w:val="30"/>
    <w:rsid w:val="00C84812"/>
    <w:rPr>
      <w:i/>
      <w:iCs/>
      <w:color w:val="4472C4" w:themeColor="accent1"/>
    </w:rPr>
  </w:style>
  <w:style w:type="paragraph" w:styleId="Caption">
    <w:name w:val="caption"/>
    <w:basedOn w:val="Normal"/>
    <w:next w:val="Normal"/>
    <w:uiPriority w:val="35"/>
    <w:unhideWhenUsed/>
    <w:qFormat/>
    <w:rsid w:val="009B63A7"/>
    <w:pPr>
      <w:spacing w:before="0" w:after="200"/>
      <w:ind w:left="567" w:right="521"/>
      <w:jc w:val="left"/>
    </w:pPr>
    <w:rPr>
      <w:color w:val="44546A" w:themeColor="text2"/>
      <w:sz w:val="18"/>
      <w:szCs w:val="18"/>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oter" Target="footer1.xml"/><Relationship Id="rIdawmwvsjjdyeookml4cg2c" Type="http://schemas.openxmlformats.org/officeDocument/2006/relationships/hyperlink" Target="https://wildfiretaskforce.org/action-plan" TargetMode="External"/><Relationship Id="rIdpyu5evigd80bke3g6-gty" Type="http://schemas.openxmlformats.org/officeDocument/2006/relationships/hyperlink" Target="https://forestbusinessalliance.org/workshops.html" TargetMode="External"/><Relationship Id="rIdzhmllrxcoyfczkre8dahu" Type="http://schemas.openxmlformats.org/officeDocument/2006/relationships/hyperlink" Target="https://californiaforestproducts.org/fapps/" TargetMode="External"/><Relationship Id="rIdcikuuljkrfqhcfcauam8_" Type="http://schemas.openxmlformats.org/officeDocument/2006/relationships/hyperlink" Target="https://californiaforestproducts.org/wp-content/uploads/2025/11/SCS_SitingandFinancialRiskAnalysis_20250831.pdf" TargetMode="External"/><Relationship Id="rIdwax3y0slfhbi_6yxhoz1o" Type="http://schemas.openxmlformats.org/officeDocument/2006/relationships/hyperlink" Target="https://californiaforestproducts.org/fapps/" TargetMode="External"/><Relationship Id="rIdwp4pi2fkgea4p0qccrqbv" Type="http://schemas.openxmlformats.org/officeDocument/2006/relationships/hyperlink" Target="https://3point.xyz/neca_jpa/" TargetMode="External"/><Relationship Id="rIdusczz0rpnyhy0mi8rbkbs" Type="http://schemas.openxmlformats.org/officeDocument/2006/relationships/hyperlink" Target="https://calfire-umb05.azurewebsites.net/media/1pygldxy/j-c-lumber-case-study_january-2025-final-report.pdf" TargetMode="External"/></Relationships>
</file>

<file path=word/_rels/footer1.xml.rels><?xml version="1.0" encoding="UTF-8"?><Relationships xmlns="http://schemas.openxmlformats.org/package/2006/relationships"><Relationship Id="rId0" Type="http://schemas.openxmlformats.org/officeDocument/2006/relationships/image" Target="media/dbi4-omiohxmcayi3wwl_.png"/></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DRAFT Startup pathways</dc:title>
  <dc:creator>Un-named</dc:creator>
  <cp:keywords>s, t, a, r, u, p, ,,  , l, n, i, g, h, w, y</cp:keywords>
  <cp:lastModifiedBy>Un-named</cp:lastModifiedBy>
  <cp:revision>1</cp:revision>
  <dcterms:created xsi:type="dcterms:W3CDTF">2026-03-11T23:12:01.563Z</dcterms:created>
  <dcterms:modified xsi:type="dcterms:W3CDTF">2026-03-11T23:12:01.563Z</dcterms:modified>
</cp:coreProperties>
</file>

<file path=docProps/custom.xml><?xml version="1.0" encoding="utf-8"?>
<Properties xmlns="http://schemas.openxmlformats.org/officeDocument/2006/custom-properties" xmlns:vt="http://schemas.openxmlformats.org/officeDocument/2006/docPropsVTypes"/>
</file>