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to ensuring project effectiveness and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projects’ overall sustainability and impact. Despite MEAL’s importance,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project’s effectiveness and impact.</w:t>
      </w:r>
      <w:r>
        <w:br/>
        <w:t xml:space="preserve">
🧮 </w:t>
      </w:r>
      <w:r>
        <w:rPr>
          <w:b/>
          <w:bCs/>
        </w:rPr>
        <w:t xml:space="preserve">Accountability</w:t>
      </w:r>
      <w:r>
        <w:t xml:space="preserve"> ensures that the project is transparent and accountable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45"/>
        </w:numPr>
      </w:pPr>
      <w:r>
        <w:rPr>
          <w:b/>
          <w:bCs/>
        </w:rPr>
        <w:t xml:space="preserve">Big picture first</w:t>
      </w:r>
      <w:r>
        <w:t xml:space="preserve">. People tend to jump straight to metrics and indicators before developing a theory of change and programmatic goals and objectives. Monitoring plans should consider the big picture, so develop the program strategy first. However, once created, feel free to change items, such as false assumptions or critical pathways that don’t reflect reality.</w:t>
      </w:r>
    </w:p>
    <w:p>
      <w:pPr>
        <w:pStyle w:val="ListParagraph"/>
        <w:numPr>
          <w:ilvl w:val="0"/>
          <w:numId w:val="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closeout and new project development.</w:t>
      </w:r>
    </w:p>
    <w:p>
      <w:pPr>
        <w:pStyle w:val="ListParagraph"/>
        <w:numPr>
          <w:ilvl w:val="0"/>
          <w:numId w:val="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Using participatory approaches at all levels of evaluation also takes more time but yields more meaningful, longer-lasting, and effective results in the long term.</w:t>
      </w:r>
    </w:p>
    <w:p>
      <w:pPr>
        <w:pStyle w:val="Heading2"/>
      </w:pPr>
      <w:r>
        <w:t xml:space="preserve">Challenges</w:t>
      </w:r>
    </w:p>
    <w:p>
      <w:r>
        <w:t xml:space="preserve">Monitoring may be the most written-about topic but the least implemented in the nonprofit world. Why is this? The challenges involved give an insight:</w:t>
      </w:r>
    </w:p>
    <w:p>
      <w:pPr>
        <w:pStyle w:val="ListParagraph"/>
        <w:numPr>
          <w:ilvl w:val="0"/>
          <w:numId w:val="46"/>
        </w:numPr>
      </w:pPr>
      <w:r>
        <w:t xml:space="preserve">Monitoring is hard to do and is hard to do right.</w:t>
      </w:r>
    </w:p>
    <w:p>
      <w:pPr>
        <w:pStyle w:val="ListParagraph"/>
        <w:numPr>
          <w:ilvl w:val="0"/>
          <w:numId w:val="46"/>
        </w:numPr>
      </w:pPr>
      <w:r>
        <w:t xml:space="preserve">Monitoring is boring.</w:t>
      </w:r>
    </w:p>
    <w:p>
      <w:pPr>
        <w:pStyle w:val="ListParagraph"/>
        <w:numPr>
          <w:ilvl w:val="0"/>
          <w:numId w:val="46"/>
        </w:numPr>
      </w:pPr>
      <w:r>
        <w:t xml:space="preserve">Your organization doesn’t have staff capacity or applied scientists who can conduct monitoring.</w:t>
      </w:r>
    </w:p>
    <w:p>
      <w:pPr>
        <w:pStyle w:val="ListParagraph"/>
        <w:numPr>
          <w:ilvl w:val="0"/>
          <w:numId w:val="46"/>
        </w:numPr>
      </w:pPr>
      <w:r>
        <w:t xml:space="preserve">Project funding doesn’t include monitoring, and it can be costly.</w:t>
      </w:r>
    </w:p>
    <w:p>
      <w:pPr>
        <w:pStyle w:val="ListParagraph"/>
        <w:numPr>
          <w:ilvl w:val="0"/>
          <w:numId w:val="46"/>
        </w:numPr>
      </w:pPr>
      <w:r>
        <w:t xml:space="preserve">It could demonstrate that your theory of change, project assumptions/interventions, or organizational mission is incorrect. That’s a big elephant in the room.</w:t>
      </w:r>
    </w:p>
    <w:p>
      <w:pPr>
        <w:pStyle w:val="ListParagraph"/>
        <w:numPr>
          <w:ilvl w:val="0"/>
          <w:numId w:val="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47"/>
        </w:numPr>
      </w:pPr>
      <w:r>
        <w:rPr>
          <w:b/>
          <w:bCs/>
        </w:rPr>
        <w:t xml:space="preserve">Situation assessment</w:t>
      </w:r>
      <w:r>
        <w:t xml:space="preserve">. Utilizing metrics without a measurement system or situation assessment is like building a house without a blueprint (see </w:t>
      </w:r>
      <w:hyperlink w:history="1" r:id="rIdg5l7ovgtt8fyw5sig1k6a">
        <w:r>
          <w:rPr>
            <w:rStyle w:val="Hyperlink"/>
          </w:rPr>
          <w:t xml:space="preserve">Program Design</w:t>
        </w:r>
      </w:hyperlink>
      <w:r>
        <w:t xml:space="preserve">). Start with a situation assessment and understand how you, your staff, team, and partners understand the current context of the system you’re working in, and how your project interventions or business application will positively change that system. Don’t assume everyone understands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47"/>
        </w:numPr>
      </w:pPr>
      <w:r>
        <w:rPr>
          <w:b/>
          <w:bCs/>
        </w:rPr>
        <w:t xml:space="preserve">Results chains</w:t>
      </w:r>
      <w:r>
        <w:t xml:space="preserve">. Create results chains from your interventions to project outcomes. For more details on results chains, see the </w:t>
      </w:r>
      <w:hyperlink w:history="1" r:id="rIdoohv_vifkl63nt8lblk1t">
        <w:r>
          <w:rPr>
            <w:rStyle w:val="Hyperlink"/>
          </w:rPr>
          <w:t xml:space="preserve">Program Design</w:t>
        </w:r>
      </w:hyperlink>
      <w:r>
        <w:t xml:space="preserve"> chapter and the </w:t>
      </w:r>
      <w:hyperlink w:history="1" r:id="rId6avjkv_mjib9qg2rsyl_z">
        <w:r>
          <w:rPr>
            <w:rStyle w:val="Hyperlink"/>
          </w:rPr>
          <w:t xml:space="preserve">Open Standards</w:t>
        </w:r>
      </w:hyperlink>
      <w:r>
        <w:t xml:space="preserve">.</w:t>
      </w:r>
    </w:p>
    <w:p>
      <w:pPr>
        <w:pStyle w:val="ListParagraph"/>
        <w:numPr>
          <w:ilvl w:val="0"/>
          <w:numId w:val="47"/>
        </w:numPr>
      </w:pPr>
      <w:r>
        <w:rPr>
          <w:b/>
          <w:bCs/>
        </w:rPr>
        <w:t xml:space="preserve">Metrics</w:t>
      </w:r>
      <w:r>
        <w:t xml:space="preserve">. Once you establish results chains,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Funder strategy</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existing data sources, as well as free data sources, before investing in new data collection efforts. Organizations often collect relevant data for M&amp;E, but staff responsible for monitoring and evaluation must know it exists.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use GIS software such as ArcGIS Pro and QGIS to analyze data, and use cloud-based platforms to store it, eliminating manual data entry and paper-based reporting. App-based data collection also lets multiple users collect and enter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options</w:t>
      </w:r>
    </w:p>
    <w:p>
      <w:pPr>
        <w:pBdr>
          <w:left w:val="double" w:color="5D85D0"/>
        </w:pBdr>
        <w:ind w:left="288" w:right="288"/>
      </w:pPr>
      <w:r>
        <w:t xml:space="preserve">Traditional methods for monitoring forestry, ecology, and fuels can be expensive, time-consuming, and error-prone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the use of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a DJI Livox MID40 laser scanner with an off-the-shelf UAV and evaluated its capability to estimate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offer M&amp;E training workshops for staff, empowering them to design surveys, analyze data, and generate reports independently, improving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fund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Partnering with other organizations is critical here. For example, you could partner with a university on a research project. First, create a research agenda for your work to show researchers what data and information you need (rather than having them come to you with pre-formed research). Academic researchers will want specific outcomes that may not align with your data and outcome needs, but they could help develop technology or collect some of the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gas-efficient. I never had a single 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spacious, such as the workhorse minivan. A Civic will get you reliably where you need to go, whereas a minivan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assumes thinning will improve forest health and reduce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48"/>
        </w:numPr>
        <w:pBdr>
          <w:left w:val="double" w:color="5D85D0"/>
        </w:pBdr>
        <w:ind w:left="288" w:right="288"/>
      </w:pPr>
      <w:r>
        <w:t xml:space="preserve">Stand inventory by species and dbh every ten years using Kobo Toolbox and QGIS</w:t>
      </w:r>
    </w:p>
    <w:p>
      <w:pPr>
        <w:pStyle w:val="ListParagraph"/>
        <w:numPr>
          <w:ilvl w:val="0"/>
          <w:numId w:val="48"/>
        </w:numPr>
      </w:pPr>
      <w:r>
        <w:t xml:space="preserve">Photo witness posts at reference and treatment sites</w:t>
      </w:r>
    </w:p>
    <w:p>
      <w:pPr>
        <w:pStyle w:val="ListParagraph"/>
        <w:numPr>
          <w:ilvl w:val="0"/>
          <w:numId w:val="48"/>
        </w:numPr>
      </w:pPr>
      <w:r>
        <w:t xml:space="preserve">Total acres treated, total acres burned</w:t>
      </w:r>
    </w:p>
    <w:p>
      <w:pPr>
        <w:pStyle w:val="ListParagraph"/>
        <w:numPr>
          <w:ilvl w:val="0"/>
          <w:numId w:val="48"/>
        </w:numPr>
      </w:pPr>
      <w:r>
        <w:t xml:space="preserve">Total dollars spent</w:t>
      </w:r>
    </w:p>
    <w:p/>
    <w:p>
      <w:r>
        <w:t xml:space="preserve">And sometimes you need a Minivan:</w:t>
      </w:r>
    </w:p>
    <w:p>
      <w:pPr>
        <w:jc w:val="center"/>
      </w:pPr>
      <w:r>
        <w:drawing>
          <wp:inline distT="0" distB="0" distL="0" distR="0">
            <wp:extent cx="4000500" cy="2668334"/>
            <wp:effectExtent b="0" l="0" r="0" t="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49"/>
        </w:numPr>
        <w:pBdr>
          <w:left w:val="double" w:color="5D85D0"/>
        </w:pBdr>
        <w:ind w:left="288" w:right="288"/>
      </w:pPr>
      <w:r>
        <w:t xml:space="preserve">Stand inventory by species and dbh every ten years using Survey123 and ArcGIS Pro</w:t>
      </w:r>
    </w:p>
    <w:p>
      <w:pPr>
        <w:pStyle w:val="ListParagraph"/>
        <w:numPr>
          <w:ilvl w:val="0"/>
          <w:numId w:val="49"/>
        </w:numPr>
      </w:pPr>
      <w:r>
        <w:t xml:space="preserve">Photo witness posts at reference and treatment sites</w:t>
      </w:r>
    </w:p>
    <w:p>
      <w:pPr>
        <w:pStyle w:val="ListParagraph"/>
        <w:numPr>
          <w:ilvl w:val="0"/>
          <w:numId w:val="49"/>
        </w:numPr>
      </w:pPr>
      <w:r>
        <w:t xml:space="preserve">Total acres treated, total acres burned</w:t>
      </w:r>
    </w:p>
    <w:p>
      <w:pPr>
        <w:pStyle w:val="ListParagraph"/>
        <w:numPr>
          <w:ilvl w:val="0"/>
          <w:numId w:val="49"/>
        </w:numPr>
      </w:pPr>
      <w:r>
        <w:t xml:space="preserve">Total $s spent</w:t>
      </w:r>
    </w:p>
    <w:p>
      <w:pPr>
        <w:pStyle w:val="ListParagraph"/>
        <w:numPr>
          <w:ilvl w:val="0"/>
          <w:numId w:val="49"/>
        </w:numPr>
      </w:pPr>
      <w:hyperlink w:history="1" r:id="rIdbqlof9an3i9w4xghwwgyv">
        <w:r>
          <w:rPr>
            <w:rStyle w:val="Hyperlink"/>
          </w:rPr>
          <w:t xml:space="preserve">Audiomoth</w:t>
        </w:r>
      </w:hyperlink>
      <w:r>
        <w:t xml:space="preserve"> IoT set up in a stand to monitor birds and bats</w:t>
      </w:r>
    </w:p>
    <w:p>
      <w:pPr>
        <w:pStyle w:val="ListParagraph"/>
        <w:numPr>
          <w:ilvl w:val="0"/>
          <w:numId w:val="49"/>
        </w:numPr>
      </w:pPr>
      <w:r>
        <w:t xml:space="preserve">Pollinator survey once/yr to morpho spp. to measure the impact of thinning and fire on invertebrates</w:t>
      </w:r>
    </w:p>
    <w:p>
      <w:pPr>
        <w:pStyle w:val="ListParagraph"/>
        <w:numPr>
          <w:ilvl w:val="0"/>
          <w:numId w:val="49"/>
        </w:numPr>
      </w:pPr>
      <w:r>
        <w:t xml:space="preserve">Understory vegetation survey every five years</w:t>
      </w:r>
    </w:p>
    <w:p/>
    <w:p>
      <w:pPr>
        <w:pStyle w:val="Heading2"/>
      </w:pPr>
      <w:r>
        <w:t xml:space="preserve">Resources</w:t>
      </w:r>
    </w:p>
    <w:p>
      <w:pPr>
        <w:pStyle w:val="ListParagraph"/>
        <w:numPr>
          <w:ilvl w:val="0"/>
          <w:numId w:val="50"/>
        </w:numPr>
      </w:pPr>
      <w:hyperlink w:history="1" r:id="rIdkw5ntiezahb3miynh8lu_">
        <w:r>
          <w:rPr>
            <w:b/>
            <w:bCs/>
            <w:rStyle w:val="Hyperlink"/>
          </w:rPr>
          <w:t xml:space="preserve">Recipes for Conservation</w:t>
        </w:r>
      </w:hyperlink>
      <w:r>
        <w:t xml:space="preserve">. A summary of how to develop the conservation standards within or among organizations. The recipes include valuable sections for businesses but are nonprofit- and agency-focused.</w:t>
      </w:r>
    </w:p>
    <w:p>
      <w:pPr>
        <w:pStyle w:val="ListParagraph"/>
        <w:numPr>
          <w:ilvl w:val="0"/>
          <w:numId w:val="50"/>
        </w:numPr>
      </w:pPr>
      <w:hyperlink w:history="1" r:id="rIdlckax2xgxmkjatjmvkbnx">
        <w:r>
          <w:rPr>
            <w:b/>
            <w:bCs/>
            <w:rStyle w:val="Hyperlink"/>
          </w:rPr>
          <w:t xml:space="preserve">Pause &amp; Reflect Toolkit</w:t>
        </w:r>
      </w:hyperlink>
      <w:r>
        <w:t xml:space="preserve">. Pause and reflect is an organizational pause to reflect on what you’re doing and why, as well as to evaluate how it’s going. This toolkit provides project leaders with a centralized collection of resources, enabling them to find everything they need to lead and support a pause and reflect process.</w:t>
      </w:r>
    </w:p>
    <w:p>
      <w:pPr>
        <w:pStyle w:val="ListParagraph"/>
        <w:numPr>
          <w:ilvl w:val="0"/>
          <w:numId w:val="50"/>
        </w:numPr>
      </w:pPr>
      <w:r>
        <w:rPr>
          <w:b/>
          <w:bCs/>
        </w:rPr>
        <w:t xml:space="preserve">Measures of Success</w:t>
      </w:r>
      <w:r>
        <w:t xml:space="preserve">. Practical guide (in English and Spanish) for designing, planning, and implementing conservation projects. The Spanish version is available as a free download, and the English version is available for purchase from Island Press </w:t>
      </w:r>
      <w:r>
        <w:t xml:space="preserve">Margoluis &amp; Salafsky (1998)</w:t>
      </w:r>
      <w:r>
        <w:t xml:space="preserve">.</w:t>
      </w:r>
    </w:p>
    <w:p>
      <w:pPr>
        <w:pStyle w:val="ListParagraph"/>
        <w:numPr>
          <w:ilvl w:val="0"/>
          <w:numId w:val="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n52u1yji-hos-hvryqmql">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dcgj8w3nieobq5ax3ws1c">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a1m8yloae6mlgfagy2l1y">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5y1ekabr299dxkr7cl0ol">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8"/>
    <w:lvlOverride w:ilvl="0">
      <w:startOverride w:val="1"/>
    </w:lvlOverride>
  </w:num>
  <w:num w:numId="45">
    <w:abstractNumId w:val="39"/>
    <w:lvlOverride w:ilvl="0">
      <w:startOverride w:val="1"/>
    </w:lvlOverride>
  </w:num>
  <w:num w:numId="46">
    <w:abstractNumId w:val="40"/>
    <w:lvlOverride w:ilvl="0">
      <w:startOverride w:val="1"/>
    </w:lvlOverride>
  </w:num>
  <w:num w:numId="47">
    <w:abstractNumId w:val="41"/>
    <w:lvlOverride w:ilvl="0">
      <w:startOverride w:val="1"/>
    </w:lvlOverride>
  </w:num>
  <w:num w:numId="48">
    <w:abstractNumId w:val="42"/>
    <w:lvlOverride w:ilvl="0">
      <w:startOverride w:val="1"/>
    </w:lvlOverride>
  </w:num>
  <w:num w:numId="49">
    <w:abstractNumId w:val="43"/>
    <w:lvlOverride w:ilvl="0">
      <w:startOverride w:val="1"/>
    </w:lvlOverride>
  </w:num>
  <w:num w:numId="50">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5l7ovgtt8fyw5sig1k6a" Type="http://schemas.openxmlformats.org/officeDocument/2006/relationships/hyperlink" Target="https://3point.xyz/fba-myst/program" TargetMode="External"/><Relationship Id="rIdoohv_vifkl63nt8lblk1t" Type="http://schemas.openxmlformats.org/officeDocument/2006/relationships/hyperlink" Target="https://3point.xyz/fba-myst/program" TargetMode="External"/><Relationship Id="rId6avjkv_mjib9qg2rsyl_z" Type="http://schemas.openxmlformats.org/officeDocument/2006/relationships/hyperlink" Target="https://www.conservationstandards.org/download-cs" TargetMode="External"/><Relationship Id="rIdbqlof9an3i9w4xghwwgyv" Type="http://schemas.openxmlformats.org/officeDocument/2006/relationships/hyperlink" Target="https://www.openacousticdevices.info/audiomoth" TargetMode="External"/><Relationship Id="rIdkw5ntiezahb3miynh8lu_" Type="http://schemas.openxmlformats.org/officeDocument/2006/relationships/hyperlink" Target="https://conservationstandards.org/library-item/cs-toolkit" TargetMode="External"/><Relationship Id="rIdlckax2xgxmkjatjmvkbnx" Type="http://schemas.openxmlformats.org/officeDocument/2006/relationships/hyperlink" Target="https://conservationstandards.org/library-item/pause-and-reflect-toolkit/" TargetMode="External"/><Relationship Id="rIdn52u1yji-hos-hvryqmql" Type="http://schemas.openxmlformats.org/officeDocument/2006/relationships/hyperlink" Target="https://3point.xyz/cmp5" TargetMode="External"/><Relationship Id="rIddcgj8w3nieobq5ax3ws1c" Type="http://schemas.openxmlformats.org/officeDocument/2006/relationships/hyperlink" Target="https://doi.org/10.3390/rs13010077" TargetMode="External"/><Relationship Id="rIda1m8yloae6mlgfagy2l1y" Type="http://schemas.openxmlformats.org/officeDocument/2006/relationships/hyperlink" Target="https://doi.org/10.1016/j.mex.2021.101484" TargetMode="External"/><Relationship Id="rId5y1ekabr299dxkr7cl0ol" Type="http://schemas.openxmlformats.org/officeDocument/2006/relationships/hyperlink" Target="https://3point.xyz/geosp" TargetMode="External"/><Relationship Id="rId7" Type="http://schemas.openxmlformats.org/officeDocument/2006/relationships/image" Target="media/rus8xrxb8vi2oro6r2dtm.png"/><Relationship Id="rId8" Type="http://schemas.openxmlformats.org/officeDocument/2006/relationships/image" Target="media/nys9_7babopatuhnkrwu_.png"/></Relationships>
</file>

<file path=word/_rels/footer1.xml.rels><?xml version="1.0" encoding="UTF-8"?><Relationships xmlns="http://schemas.openxmlformats.org/package/2006/relationships"><Relationship Id="rId0" Type="http://schemas.openxmlformats.org/officeDocument/2006/relationships/image" Target="media/cmbhjtmxrilinwxoquwh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2026-08-20T14:06:10.796Z</dcterms:created>
  <dcterms:modified xsi:type="dcterms:W3CDTF">2026-08-20T14:06:10.796Z</dcterms:modified>
</cp:coreProperties>
</file>

<file path=docProps/custom.xml><?xml version="1.0" encoding="utf-8"?>
<Properties xmlns="http://schemas.openxmlformats.org/officeDocument/2006/custom-properties" xmlns:vt="http://schemas.openxmlformats.org/officeDocument/2006/docPropsVTypes"/>
</file>