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Takeaways</w:t>
      </w:r>
    </w:p>
    <w:p>
      <w:pPr>
        <w:pStyle w:val="ListParagraph"/>
        <w:numPr>
          <w:ilvl w:val="0"/>
          <w:numId w:val="156"/>
        </w:numPr>
      </w:pPr>
      <w:r>
        <w:rPr>
          <w:b/>
          <w:bCs/>
        </w:rPr>
        <w:t xml:space="preserve">Addresses multiple problems</w:t>
      </w:r>
      <w:r>
        <w:t xml:space="preserve">. Simultaneously addressing societal/environmental problems and industry needs makes for a compelling case to governments, grantmakers, and impact investors.</w:t>
      </w:r>
    </w:p>
    <w:p>
      <w:pPr>
        <w:pStyle w:val="ListParagraph"/>
        <w:numPr>
          <w:ilvl w:val="0"/>
          <w:numId w:val="156"/>
        </w:numPr>
      </w:pPr>
      <w:r>
        <w:rPr>
          <w:b/>
          <w:bCs/>
        </w:rPr>
        <w:t xml:space="preserve">Importance of grants &amp; partnerships</w:t>
      </w:r>
      <w:r>
        <w:t xml:space="preserve">. Grants and partnerships are essential to offset business risk, especially when resources are constrained.</w:t>
      </w:r>
    </w:p>
    <w:p>
      <w:pPr>
        <w:pStyle w:val="ListParagraph"/>
        <w:numPr>
          <w:ilvl w:val="0"/>
          <w:numId w:val="156"/>
        </w:numPr>
      </w:pPr>
      <w:r>
        <w:rPr>
          <w:b/>
          <w:bCs/>
        </w:rPr>
        <w:t xml:space="preserve">Connection to research</w:t>
      </w:r>
      <w:r>
        <w:t xml:space="preserve">. Strong academic collaboration and rigorous lab testing are necessary to validate product performance.</w:t>
      </w:r>
    </w:p>
    <w:p>
      <w:pPr>
        <w:pStyle w:val="ListParagraph"/>
        <w:numPr>
          <w:ilvl w:val="0"/>
          <w:numId w:val="156"/>
        </w:numPr>
      </w:pPr>
      <w:r>
        <w:rPr>
          <w:b/>
          <w:bCs/>
        </w:rPr>
        <w:t xml:space="preserve">Broad outreach</w:t>
      </w:r>
      <w:r>
        <w:t xml:space="preserve">. Broad outreach and participatory validation help to generate interest and move potential buyers from curiosity to commitment.</w:t>
      </w:r>
    </w:p>
    <w:p>
      <w:pPr>
        <w:pStyle w:val="ListParagraph"/>
        <w:numPr>
          <w:ilvl w:val="0"/>
          <w:numId w:val="156"/>
        </w:numPr>
      </w:pPr>
      <w:r>
        <w:rPr>
          <w:b/>
          <w:bCs/>
        </w:rPr>
        <w:t xml:space="preserve">Scaling</w:t>
      </w:r>
      <w:r>
        <w:t xml:space="preserve">. Careful planning—such as partnering with energy providers and securing early buyer commitments—helps reduce financial risk and stabilize cash flow when scaling from pilot to commercial production.</w:t>
      </w:r>
    </w:p>
    <w:p>
      <w:pPr>
        <w:pStyle w:val="Heading2"/>
      </w:pP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funding from the Conservation X Labs Fire Grand Challenge pilot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w:t>
      </w:r>
      <w:r>
        <w:t xml:space="preserve">).</w:t>
      </w:r>
    </w:p>
    <w:p>
      <w:pPr>
        <w:jc w:val="center"/>
      </w:pPr>
      <w:r>
        <w:drawing>
          <wp:inline distT="0" distB="0" distL="0" distR="0">
            <wp:extent cx="4000500" cy="2649536"/>
            <wp:effectExtent b="0" l="0" r="0" t="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wood fiber substrate produced by Plumas Wood Fiber.</w:t>
      </w:r>
    </w:p>
    <w:p>
      <w:pPr>
        <w:pStyle w:val="Heading2"/>
      </w:pPr>
      <w:r>
        <w:t xml:space="preserve">Business model</w:t>
      </w:r>
    </w:p>
    <w:p>
      <w:r>
        <w:t xml:space="preserve">Plumas Wood Fiber’s business model ties feedstock procurement directly to forest restoration activity. The company will source wood chips from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57"/>
        </w:numPr>
      </w:pPr>
      <w:r>
        <w:rPr>
          <w:b/>
          <w:bCs/>
        </w:rPr>
        <w:t xml:space="preserve">Feedstock</w:t>
      </w:r>
      <w:r>
        <w:t xml:space="preserve">. Ready access to low‑cost feedstock from wildfire fuels‑reduction projects;</w:t>
      </w:r>
    </w:p>
    <w:p>
      <w:pPr>
        <w:pStyle w:val="ListParagraph"/>
        <w:numPr>
          <w:ilvl w:val="0"/>
          <w:numId w:val="157"/>
        </w:numPr>
      </w:pPr>
      <w:r>
        <w:rPr>
          <w:b/>
          <w:bCs/>
        </w:rPr>
        <w:t xml:space="preserve">Transportation</w:t>
      </w:r>
      <w:r>
        <w:t xml:space="preserve">. Much shorter transport distances to West Coast horticultural buyers compared with imported peat, and</w:t>
      </w:r>
    </w:p>
    <w:p>
      <w:pPr>
        <w:pStyle w:val="ListParagraph"/>
        <w:numPr>
          <w:ilvl w:val="0"/>
          <w:numId w:val="157"/>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Plumas Wood Fiber using a hammer mill to produce sample substrate for growth trials.</w:t>
      </w:r>
    </w:p>
    <w:p>
      <w:r>
        <w:t xml:space="preserve">In the pilot phase, Plumas Wood Fiber used hammer‑milling (</w:t>
      </w:r>
      <w:r>
        <w:t xml:space="preserve">Figure </w:t>
      </w:r>
      <w:r>
        <w:t xml:space="preserve">2</w:t>
      </w:r>
      <w:r>
        <w:t xml:space="preserve">) to produce sample fiber for growth trials (</w:t>
      </w:r>
      <w:r>
        <w:t xml:space="preserve">Figure </w:t>
      </w:r>
      <w:r>
        <w:t xml:space="preserve">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4</w:t>
      </w:r>
      <w:r>
        <w:t xml:space="preserve">).</w:t>
      </w:r>
    </w:p>
    <w:p>
      <w:pPr>
        <w:jc w:val="center"/>
      </w:pPr>
      <w:r>
        <w:drawing>
          <wp:inline distT="0" distB="0" distL="0" distR="0">
            <wp:extent cx="4000500" cy="4443161"/>
            <wp:effectExtent b="0" l="0" r="0" t="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sale price near $20 per cubic yard, producing delivered costs competitive with out-of-state wood-fiber suppliers once transport is included.</w:t>
      </w:r>
    </w:p>
    <w:p>
      <w:pPr>
        <w:pStyle w:val="Heading2"/>
      </w:pP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remains uncertain and will be shaped by the outcomes of growth trials, which are critical to overcoming conservative buyer hesitancy. At the same time, competitive pressure from established wood‑fiber suppliers and lower‑cost peat/coir blends could depress pricing and slow uptake, underscoring the importance of trial success in mitigating market risk.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gains in extruder energy efficiency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the costs of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partnerships—grants, impact finance, and public loan programs—will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Impacts</w:t>
      </w:r>
    </w:p>
    <w:p>
      <w:r>
        <w:t xml:space="preserve">Due to its environmental and community approach, Plumas Wood Fiber’s project will have multiple positive environmental and social impacts both environmental and social. These are explored in the next two sections.</w:t>
      </w:r>
    </w:p>
    <w:p>
      <w:pPr>
        <w:pStyle w:val="Heading3"/>
      </w:pP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sourced from a permanent carbon reservoir, making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Wood fiber storage bunker in the Netherlands.</w:t>
      </w:r>
    </w:p>
    <w:p>
      <w:pPr>
        <w:pStyle w:val="Heading3"/>
      </w:pP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58"/>
        </w:numPr>
      </w:pPr>
      <w:r>
        <w:t xml:space="preserve">Simultaneously addressing societal/environmental problems and industry needs makes for a compelling case to governments, grantmakers, and impact investors.</w:t>
      </w:r>
    </w:p>
    <w:p>
      <w:pPr>
        <w:pStyle w:val="ListParagraph"/>
        <w:numPr>
          <w:ilvl w:val="0"/>
          <w:numId w:val="158"/>
        </w:numPr>
      </w:pPr>
      <w:r>
        <w:t xml:space="preserve">Grants and partnerships are essential to offset business risk, especially when resources are constrained.</w:t>
      </w:r>
    </w:p>
    <w:p>
      <w:pPr>
        <w:pStyle w:val="ListParagraph"/>
        <w:numPr>
          <w:ilvl w:val="0"/>
          <w:numId w:val="158"/>
        </w:numPr>
      </w:pPr>
      <w:r>
        <w:t xml:space="preserve">Strong academic collaboration and rigorous lab testing are necessary to validate product performance.</w:t>
      </w:r>
    </w:p>
    <w:p>
      <w:pPr>
        <w:pStyle w:val="ListParagraph"/>
        <w:numPr>
          <w:ilvl w:val="0"/>
          <w:numId w:val="158"/>
        </w:numPr>
      </w:pPr>
      <w:r>
        <w:t xml:space="preserve">Broad outreach and participatory validation help to generate interest and move potential buyers from curiosity to commitment.</w:t>
      </w:r>
    </w:p>
    <w:p>
      <w:pPr>
        <w:pStyle w:val="ListParagraph"/>
        <w:numPr>
          <w:ilvl w:val="0"/>
          <w:numId w:val="158"/>
        </w:numPr>
      </w:pPr>
      <w:r>
        <w:t xml:space="preserve">Bridging the capital and operational gap between pilot-scale and commercial-scale production requires strategic planning, e.g., co‑locating with energy partners and securing early letters of intent from offtake partners to reduce investment risk and smooth early cash flow.</w:t>
      </w:r>
    </w:p>
    <w:p>
      <w:pPr>
        <w:pStyle w:val="Heading2"/>
      </w:pP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trial replication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t5xawkfs2cpnuvdrop5bi">
        <w:r>
          <w:rPr>
            <w:rStyle w:val="Hyperlink"/>
          </w:rPr>
          <w:t xml:space="preserve">CALFIRE’s Business and Workforce Development Program</w:t>
        </w:r>
      </w:hyperlink>
      <w:r>
        <w:t xml:space="preserve"> for funding the Forest Business Alliance’s work with </w:t>
      </w:r>
      <w:hyperlink w:history="1" r:id="rIdi08d8x2angqu4dtjsrt5u">
        <w:r>
          <w:rPr>
            <w:rStyle w:val="Hyperlink"/>
          </w:rPr>
          <w:t xml:space="preserve">Plumas Wood Fiber</w:t>
        </w:r>
      </w:hyperlink>
      <w:r>
        <w:t xml:space="preserve">, </w:t>
      </w:r>
      <w:hyperlink w:history="1" r:id="rIdt4szfdp8t_k4tehjcjkob">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slulwq-d8w7ps0afrh4zq">
        <w:r>
          <w:rPr>
            <w:rStyle w:val="Hyperlink"/>
          </w:rPr>
          <w:t xml:space="preserve">Guidebook</w:t>
        </w:r>
      </w:hyperlink>
      <w:r>
        <w:t xml:space="preserve">, the </w:t>
      </w:r>
      <w:hyperlink w:history="1" r:id="rIdhappkmgch84yvimdcgykn">
        <w:r>
          <w:rPr>
            <w:rStyle w:val="Hyperlink"/>
          </w:rPr>
          <w:t xml:space="preserve">Forest Business Alliance website</w:t>
        </w:r>
      </w:hyperlink>
      <w:r>
        <w:t xml:space="preserve">, and upcoming Forest Business Alliance </w:t>
      </w:r>
      <w:hyperlink w:history="1" r:id="rIdprs58iegff40ekkpta8qw">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5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5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5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52"/>
    <w:lvlOverride w:ilvl="0">
      <w:startOverride w:val="1"/>
    </w:lvlOverride>
  </w:num>
  <w:num w:numId="156">
    <w:abstractNumId w:val="153"/>
    <w:lvlOverride w:ilvl="0">
      <w:startOverride w:val="1"/>
    </w:lvlOverride>
  </w:num>
  <w:num w:numId="157">
    <w:abstractNumId w:val="154"/>
    <w:lvlOverride w:ilvl="0">
      <w:startOverride w:val="1"/>
    </w:lvlOverride>
  </w:num>
  <w:num w:numId="158">
    <w:abstractNumId w:val="15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5xawkfs2cpnuvdrop5bi" Type="http://schemas.openxmlformats.org/officeDocument/2006/relationships/hyperlink" Target="https://www.fire.ca.gov/what-we-do/grants/business-and-workforce-development-grants" TargetMode="External"/><Relationship Id="rIdi08d8x2angqu4dtjsrt5u" Type="http://schemas.openxmlformats.org/officeDocument/2006/relationships/hyperlink" Target="https://www.plumaswoodfiber.com/" TargetMode="External"/><Relationship Id="rIdt4szfdp8t_k4tehjcjkob" Type="http://schemas.openxmlformats.org/officeDocument/2006/relationships/hyperlink" Target="https://realgoodsoil.com/" TargetMode="External"/><Relationship Id="rIdslulwq-d8w7ps0afrh4zq" Type="http://schemas.openxmlformats.org/officeDocument/2006/relationships/hyperlink" Target="https://3point.xyz/fba-myst" TargetMode="External"/><Relationship Id="rIdhappkmgch84yvimdcgykn" Type="http://schemas.openxmlformats.org/officeDocument/2006/relationships/hyperlink" Target="https://www.forestbusinessalliance.org/" TargetMode="External"/><Relationship Id="rIdprs58iegff40ekkpta8qw" Type="http://schemas.openxmlformats.org/officeDocument/2006/relationships/hyperlink" Target="https://www.forestbusinessalliance.org/workshops" TargetMode="External"/><Relationship Id="rId7" Type="http://schemas.openxmlformats.org/officeDocument/2006/relationships/image" Target="media/kl2pfcdn0he8ptwxsslnt.png"/><Relationship Id="rId8" Type="http://schemas.openxmlformats.org/officeDocument/2006/relationships/image" Target="media/ag5bqjzocjak4_i5hpwrm.png"/><Relationship Id="rId9" Type="http://schemas.openxmlformats.org/officeDocument/2006/relationships/image" Target="media/2tidrr9zcavsjipirjjp1.png"/><Relationship Id="rId10" Type="http://schemas.openxmlformats.org/officeDocument/2006/relationships/image" Target="media/dien2prnann5_r2wc2kj5.png"/><Relationship Id="rId11" Type="http://schemas.openxmlformats.org/officeDocument/2006/relationships/image" Target="media/1fih0shlzzywddqo2aszh.png"/><Relationship Id="rId12" Type="http://schemas.openxmlformats.org/officeDocument/2006/relationships/image" Target="media/1mruycrk2mcynmigd4ufr.png"/></Relationships>
</file>

<file path=word/_rels/footer1.xml.rels><?xml version="1.0" encoding="UTF-8"?><Relationships xmlns="http://schemas.openxmlformats.org/package/2006/relationships"><Relationship Id="rId0" Type="http://schemas.openxmlformats.org/officeDocument/2006/relationships/image" Target="media/uneoault2jqrxy7-4pkqb.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2026-04-03T14:21:46.302Z</dcterms:created>
  <dcterms:modified xsi:type="dcterms:W3CDTF">2026-04-03T14:21:46.302Z</dcterms:modified>
</cp:coreProperties>
</file>

<file path=docProps/custom.xml><?xml version="1.0" encoding="utf-8"?>
<Properties xmlns="http://schemas.openxmlformats.org/officeDocument/2006/custom-properties" xmlns:vt="http://schemas.openxmlformats.org/officeDocument/2006/docPropsVTypes"/>
</file>