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FBA Review</w:t>
      </w:r>
    </w:p>
    <w:p>
      <w:pPr>
        <w:pStyle w:val="Heading4"/>
      </w:pPr>
      <w:r>
        <w:t xml:space="preserve">Forest Business Alliance</w:t>
      </w:r>
    </w:p>
    <w:p>
      <w:pPr>
        <w:pStyle w:val="Heading2"/>
      </w:pPr>
      <w:r>
        <w:t xml:space="preserve">Takeaways</w:t>
      </w:r>
    </w:p>
    <w:p>
      <w:pPr>
        <w:pStyle w:val="IntenseQuote"/>
      </w:pPr>
      <w:r>
        <w:t xml:space="preserve">Creating a successful new business is not just about having a good idea, it’s about structuring your effort appropriately for the financing needed to get started. This means understanding all aspects of your proposed idea so you have a workable business plan. FBA participant</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the participant numbers for live webinars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ndv-ejuarc6k7sc7cwbma">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r3tpmjomwiecr27cr-ytq">
        <w:r>
          <w:rPr>
            <w:rStyle w:val="Hyperlink"/>
          </w:rPr>
          <w:t xml:space="preserve">CAL FIRE Business and Workforce Development Grant Program</w:t>
        </w:r>
      </w:hyperlink>
      <w:r>
        <w:t xml:space="preserve">. Past funders include the </w:t>
      </w:r>
      <w:hyperlink w:history="1" r:id="rId1l1jxpsvsno82yvqxri27">
        <w:r>
          <w:rPr>
            <w:rStyle w:val="Hyperlink"/>
          </w:rPr>
          <w:t xml:space="preserve">Yuba Water Agency</w:t>
        </w:r>
      </w:hyperlink>
      <w:r>
        <w:t xml:space="preserve"> and the USDA Forest Service.</w:t>
      </w:r>
    </w:p>
    <w:p>
      <w:r>
        <w:t xml:space="preserve">The design of 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 numbers are for projects that FBA provided technical assistance to and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rPr>
                <w:b/>
                <w:bCs/>
              </w:rPr>
              <w:t xml:space="preserve">List-serv Members</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conducted a review of the Forest Business Alliance through internal and external processes to assess program effectiveness and inform future directions. External review consisted of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stages of contacts from initial identification to funded proposal status (</w:t>
      </w:r>
      <w:r>
        <w:t xml:space="preserve">Figure </w:t>
      </w:r>
      <w:r>
        <w:t xml:space="preserve">1</w:t>
      </w:r>
      <w:r>
        <w:t xml:space="preserve">). Other stages for collaborators, such as source and participation, were included to account for other types of network participation. Identified, participating, and source category numbers were high at the beginning of the project, and technical assistance was steady but increased dramatically in 2025 as more applicants became aware of the Alliance and contacted us for assistance.</w:t>
      </w:r>
    </w:p>
    <w:p>
      <w:pPr>
        <w:jc w:val="center"/>
      </w:pPr>
      <w:r>
        <w:drawing>
          <wp:inline distT="0" distB="0" distL="0" distR="0">
            <wp:extent cx="4000500" cy="1987289"/>
            <wp:effectExtent b="0" l="0" r="0" t="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FBA vpipeline technical assistance.</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87289"/>
            <wp:effectExtent b="0" l="0" r="0" t="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categories over time.</w:t>
      </w:r>
    </w:p>
    <w:p>
      <w:pPr>
        <w:pStyle w:val="Heading3"/>
      </w:pPr>
      <w:r>
        <w:t xml:space="preserve">Technical Assistance</w:t>
      </w:r>
    </w:p>
    <w:p>
      <w:r>
        <w:t xml:space="preserve">Technical assistance proved to be a core strength of FBA Phase I, with direct support to BWD applicants, specialized Tribal TA, and comprehensive resources, including funding and finance options, and geospatial/contact databases for wood products businesses, helping to build sector capacity. However, several opportunities for improvement emerged: TA delivery needs to be more strategically targeted, a funding gap was identified, office hours saw sparse attendance, and expansion into additional statewide programs is needed.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entities with money.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afterwards.” Mika Cook, Sustainable Rural Forest Community Strategist, Humboldt</w:t>
      </w:r>
    </w:p>
    <w:p>
      <w:r>
        <w:t xml:space="preserve">Good participation around CalFire grant deadlines—this probably indicates that PLN was perceived as a strong CalFire support group specializing in grant funding. The in-person PLN meeting at Sierra Institute was well attended, and participants developed strong peer-to-peer and organizational connections (though qualitative, hard to document). Another approach could be to change to business-specific network, e.g., mills or biomass only sessions. One participant also noted that specific examples of financing wood products businesses as a key need for their startup.</w:t>
      </w:r>
    </w:p>
    <w:p>
      <w:pPr>
        <w:pStyle w:val="IntenseQuote"/>
      </w:pPr>
      <w:r>
        <w:t xml:space="preserve">“The amount of experience in the wood products industry to lend </w:t>
      </w:r>
      <w:r>
        <w:rPr>
          <w:i/>
          <w:iCs/>
        </w:rPr>
        <w:t xml:space="preserve">ad hoc</w:t>
      </w:r>
      <w:r>
        <w:t xml:space="preserve"> expertise is limited.  I really appreciated the speakers, fieldtrips,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18"/>
        </w:numPr>
      </w:pPr>
      <w:r>
        <w:rPr>
          <w:b/>
          <w:bCs/>
        </w:rPr>
        <w:t xml:space="preserve">Focus on technical assistance &amp; key workshops</w:t>
      </w:r>
      <w:r>
        <w:t xml:space="preserve">. Direct technical assistance was one of the most effective forms of support FBA provided. Whereas connecting with new and existing organizations was initially challenging, this has significantly improved. Workshops drew the strongest attendance during grant rounds, particularly when focused on proposal development and funding from sources such as agencies, banks, foundations, and private investors.</w:t>
      </w:r>
    </w:p>
    <w:p>
      <w:pPr>
        <w:pStyle w:val="ListParagraph"/>
        <w:numPr>
          <w:ilvl w:val="0"/>
          <w:numId w:val="218"/>
        </w:numPr>
      </w:pPr>
      <w:r>
        <w:rPr>
          <w:b/>
          <w:bCs/>
        </w:rPr>
        <w:t xml:space="preserve">Reconfigure the Peer Learning Network or focus on specific topics with similar businesses</w:t>
      </w:r>
      <w:r>
        <w:t xml:space="preserve">. Tribal PLN was well attended.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18"/>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18"/>
        </w:numPr>
      </w:pPr>
      <w:r>
        <w:rPr>
          <w:b/>
          <w:bCs/>
        </w:rPr>
        <w:t xml:space="preserve">Expand outreach to unsuccessful grant applicants</w:t>
      </w:r>
      <w:r>
        <w:t xml:space="preserve">. Recent efforts show measurable success in targeted assistance to applicants who needed extra assistance to refine grant applications, strengthen sections, or add specificity to other portions of their grants.</w:t>
      </w:r>
    </w:p>
    <w:p>
      <w:pPr>
        <w:pStyle w:val="ListParagraph"/>
        <w:numPr>
          <w:ilvl w:val="0"/>
          <w:numId w:val="218"/>
        </w:numPr>
      </w:pPr>
      <w:r>
        <w:rPr>
          <w:b/>
          <w:bCs/>
        </w:rPr>
        <w:t xml:space="preserve">Continue communications &amp; outreach</w:t>
      </w:r>
      <w:r>
        <w:t xml:space="preserve">. Growing awareness drives organic inquiries and CAL FIRE referrals. Existing materials (Guide, website, webinar/workshop recordings) effectively introduce FBA and extend reach.</w:t>
      </w:r>
    </w:p>
    <w:p>
      <w:pPr>
        <w:pStyle w:val="ListParagraph"/>
        <w:numPr>
          <w:ilvl w:val="0"/>
          <w:numId w:val="218"/>
        </w:numPr>
      </w:pPr>
      <w:r>
        <w:rPr>
          <w:b/>
          <w:bCs/>
        </w:rPr>
        <w:t xml:space="preserve">Conduct further analysis comparing Tribal PLN vs. general PLN</w:t>
      </w:r>
      <w:r>
        <w:t xml:space="preserve"> participation metrics and implement systematic outreach to new startups and nonprofit programs, especially in regions with low application rates or limited grant-writing capacity.</w:t>
      </w:r>
    </w:p>
    <w:p>
      <w:r>
        <w:t xml:space="preserve">Additional review of the difference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6"/>
    <w:lvlOverride w:ilvl="0">
      <w:startOverride w:val="1"/>
    </w:lvlOverride>
  </w:num>
  <w:num w:numId="218">
    <w:abstractNumId w:val="2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ndv-ejuarc6k7sc7cwbma" Type="http://schemas.openxmlformats.org/officeDocument/2006/relationships/hyperlink" Target="https://www.forestbusinessalliance.org/" TargetMode="External"/><Relationship Id="rIdr3tpmjomwiecr27cr-ytq" Type="http://schemas.openxmlformats.org/officeDocument/2006/relationships/hyperlink" Target="https://www.fire.ca.gov/what-we-do/natural-resource-management/climate-and-energy-program/wood-products-and-bioenergy" TargetMode="External"/><Relationship Id="rId1l1jxpsvsno82yvqxri27" Type="http://schemas.openxmlformats.org/officeDocument/2006/relationships/hyperlink" Target="https://www.yubawater.org/" TargetMode="External"/><Relationship Id="rId7" Type="http://schemas.openxmlformats.org/officeDocument/2006/relationships/image" Target="media/zutrmaj4spbu_3jvkagnf.png"/><Relationship Id="rId8" Type="http://schemas.openxmlformats.org/officeDocument/2006/relationships/image" Target="media/alv6sfa2ar6vahge8kvep.png"/></Relationships>
</file>

<file path=word/_rels/footer1.xml.rels><?xml version="1.0" encoding="UTF-8"?><Relationships xmlns="http://schemas.openxmlformats.org/package/2006/relationships"><Relationship Id="rId0" Type="http://schemas.openxmlformats.org/officeDocument/2006/relationships/image" Target="media/wdclv2a23pb1ndvvsenez.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FBA Review</dc:title>
  <dc:creator>Un-named</dc:creator>
  <cp:keywords>l, o, k, b, a, c, ,,  , r, e, v, i, w, p, u, s, d, t</cp:keywords>
  <cp:lastModifiedBy>Un-named</cp:lastModifiedBy>
  <cp:revision>1</cp:revision>
  <dcterms:created xsi:type="dcterms:W3CDTF">2026-04-15T10:17:42.386Z</dcterms:created>
  <dcterms:modified xsi:type="dcterms:W3CDTF">2026-04-15T10:17:42.386Z</dcterms:modified>
</cp:coreProperties>
</file>

<file path=docProps/custom.xml><?xml version="1.0" encoding="utf-8"?>
<Properties xmlns="http://schemas.openxmlformats.org/officeDocument/2006/custom-properties" xmlns:vt="http://schemas.openxmlformats.org/officeDocument/2006/docPropsVTypes"/>
</file>