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Resilience Gap</w:t>
      </w:r>
    </w:p>
    <w:p>
      <w:pPr>
        <w:pStyle w:val="Heading4"/>
      </w:pPr>
      <w:r>
        <w:t xml:space="preserve">Veenu King, Michael Kent, Vance Russell</w:t>
      </w:r>
    </w:p>
    <w:p>
      <w:pPr>
        <w:pStyle w:val="Heading2"/>
      </w:pPr>
      <w:r>
        <w:t xml:space="preserve">1.1	</w:t>
      </w:r>
      <w:r>
        <w:t xml:space="preserve">Wildfire</w:t>
      </w:r>
    </w:p>
    <w:p>
      <w:r>
        <w:t xml:space="preserve">California’s diverse landscapes encompass forests, grasslands, chaparral, and urban-wildland interfaces, each playing a critical role in the state’s ecological and economic vitality. Its 33 million acres of forests span the Coast, Cascade, and Sierra Nevada ranges. Ownership is mixed across public and private, with 60% of forestland publicly owned—mostly National Forests followed by State and BLM lands </w:t>
      </w:r>
      <w:r>
        <w:t xml:space="preserve">USDA (2024)</w:t>
      </w:r>
      <w:r>
        <w:t xml:space="preserve">. The remaining forest lands are split between private industrial and private non-industrial. The bulk of California forests are made up of mixed conifers—dominated by douglas-fir, giant sequoia, Jeffrey pine, pinyon, and ponderosa pine—followed by western oak woodlands </w:t>
      </w:r>
      <w:r>
        <w:t xml:space="preserve">CFF (2024)</w:t>
      </w:r>
      <w:r>
        <w:t xml:space="preserve">.</w:t>
      </w:r>
    </w:p>
    <w:p>
      <w:r>
        <w:t xml:space="preserve">These forests are fire-adapted. While wildfires are a natural element of California’s forests, human activities, land use changes, fire suppression practices, and climate change have intensified the frequency and severity of wildfires (</w:t>
      </w:r>
      <w:r>
        <w:t xml:space="preserve">Figure </w:t>
      </w:r>
      <w:r>
        <w:t xml:space="preserve">1.1</w:t>
      </w:r>
      <w:r>
        <w:t xml:space="preserve">).</w:t>
      </w:r>
    </w:p>
    <w:p>
      <w:pPr>
        <w:jc w:val="center"/>
      </w:pPr>
      <w:r>
        <w:drawing>
          <wp:inline distT="0" distB="0" distL="0" distR="0">
            <wp:extent cx="4000500" cy="1657350"/>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1657350"/>
                    </a:xfrm>
                    <a:prstGeom prst="rect">
                      <a:avLst/>
                    </a:prstGeom>
                  </pic:spPr>
                </pic:pic>
              </a:graphicData>
            </a:graphic>
          </wp:inline>
        </w:drawing>
      </w:r>
    </w:p>
    <w:p>
      <w:pPr>
        <w:pStyle w:val="Caption"/>
      </w:pPr>
      <w:r>
        <w:rPr>
          <w:b/>
          <w:bCs/>
        </w:rPr>
        <w:t xml:space="preserve">Figure </w:t>
      </w:r>
      <w:r>
        <w:rPr>
          <w:b/>
          <w:bCs/>
        </w:rPr>
        <w:t xml:space="preserve">1.1</w:t>
      </w:r>
      <w:r>
        <w:rPr>
          <w:b/>
          <w:bCs/>
        </w:rPr>
        <w:t xml:space="preserve">:</w:t>
      </w:r>
      <w:r>
        <w:t xml:space="preserve"> </w:t>
      </w:r>
      <w:r>
        <w:t xml:space="preserve">Annual acres burned statewide. Source: California Environmental Protection Agency’s Office of Environmental Health Hazard Assessment </w:t>
      </w:r>
      <w:r>
        <w:t xml:space="preserve">OEHHA (2024)</w:t>
      </w:r>
      <w:r>
        <w:t xml:space="preserve">.</w:t>
      </w:r>
    </w:p>
    <w:p>
      <w:r>
        <w:t xml:space="preserve">In 2023, California experienced over 4,500 wildfires that burned through 116,399 acres. Midway through the 2024 wildfire season, the state has already experienced 5,383 wildfires burning through 827,880 acres </w:t>
      </w:r>
      <w:r>
        <w:t xml:space="preserve">FIRE (2024)</w:t>
      </w:r>
      <w:r>
        <w:t xml:space="preserve">. This trend has shown no signs of slowing, with experts warning that the region has entered an era of megafires </w:t>
      </w:r>
      <w:r>
        <w:t xml:space="preserve">OEHHA (2024)</w:t>
      </w:r>
      <w:r>
        <w:t xml:space="preserve">.</w:t>
      </w:r>
    </w:p>
    <w:p>
      <w:pPr>
        <w:pStyle w:val="Heading2"/>
      </w:pPr>
      <w:r>
        <w:t xml:space="preserve">1.2	</w:t>
      </w:r>
      <w:r>
        <w:t xml:space="preserve">Disparities</w:t>
      </w:r>
    </w:p>
    <w:p>
      <w:r>
        <w:t xml:space="preserve">California’s megafires significantly destroy homes, infrastructure, and natural habitats, leading to loss of life, displacement, and billions of dollars in damages. They worsen air pollution, degrade water quality, and release large amounts of carbon dioxide, exacerbating climate change.</w:t>
      </w:r>
    </w:p>
    <w:p>
      <w:r>
        <w:t xml:space="preserve">These impacts disproportionately affect low-income and Indigenous communities. Studies have examined the relationship between fire hazard </w:t>
      </w:r>
      <w:r>
        <w:rPr>
          <w:rStyle w:val="FootnoteReference"/>
        </w:rPr>
        <w:footnoteReference w:id="1"/>
      </w:r>
      <w:r>
        <w:t xml:space="preserve">, fire experience, and income in California communities, showing that communities experiencing higher fire frequency have lower incomes (</w:t>
      </w:r>
      <w:r>
        <w:t xml:space="preserve">Figure </w:t>
      </w:r>
      <w:r>
        <w:t xml:space="preserve">1.2</w:t>
      </w:r>
      <w:r>
        <w:t xml:space="preserve">). This result could be due to the lack of investment and resources in those areas or the repeated fires that have changed the communities over time.</w:t>
      </w:r>
    </w:p>
    <w:p>
      <w:pPr>
        <w:jc w:val="center"/>
      </w:pPr>
      <w:r>
        <w:drawing>
          <wp:inline distT="0" distB="0" distL="0" distR="0">
            <wp:extent cx="4000500" cy="3701515"/>
            <wp:effectExtent b="0" l="0" r="0" t="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3701515"/>
                    </a:xfrm>
                    <a:prstGeom prst="rect">
                      <a:avLst/>
                    </a:prstGeom>
                  </pic:spPr>
                </pic:pic>
              </a:graphicData>
            </a:graphic>
          </wp:inline>
        </w:drawing>
      </w:r>
    </w:p>
    <w:p>
      <w:pPr>
        <w:pStyle w:val="Caption"/>
      </w:pPr>
      <w:r>
        <w:rPr>
          <w:b/>
          <w:bCs/>
        </w:rPr>
        <w:t xml:space="preserve">Figure </w:t>
      </w:r>
      <w:r>
        <w:rPr>
          <w:b/>
          <w:bCs/>
        </w:rPr>
        <w:t xml:space="preserve">1.2</w:t>
      </w:r>
      <w:r>
        <w:rPr>
          <w:b/>
          <w:bCs/>
        </w:rPr>
        <w:t xml:space="preserve">:</w:t>
      </w:r>
      <w:r>
        <w:t xml:space="preserve"> </w:t>
      </w:r>
      <w:r>
        <w:t xml:space="preserve">Fire experience by census tracts and corresponding median income by experience group. Source: Hino, Field: “Fire frequency and vulnerability in California.”</w:t>
      </w:r>
    </w:p>
    <w:p>
      <w:r>
        <w:t xml:space="preserve">Additionally, this study’s analysis on fire suppression has found that communities with high property values stop the spread of wildfires, thus reducing their deleterious impact </w:t>
      </w:r>
      <w:r>
        <w:t xml:space="preserve">Hino &amp; Field (2023)</w:t>
      </w:r>
      <w:r>
        <w:t xml:space="preserve">. California’s low-income communities suffer repeated fires and subsequent health impacts from persistent air pollution as well as higher daily cardiovascular hospitalization </w:t>
      </w:r>
      <w:r>
        <w:t xml:space="preserve">Chen </w:t>
      </w:r>
      <w:r>
        <w:rPr>
          <w:i/>
          <w:iCs/>
        </w:rPr>
        <w:t xml:space="preserve">et al.</w:t>
      </w:r>
      <w:r>
        <w:t xml:space="preserve"> (2024)</w:t>
      </w:r>
      <w:r>
        <w:t xml:space="preserve"> </w:t>
      </w:r>
      <w:r>
        <w:t xml:space="preserve">Pohl (2024)</w:t>
      </w:r>
      <w:r>
        <w:t xml:space="preserve"> </w:t>
      </w:r>
      <w:r>
        <w:t xml:space="preserve">Secaira (2023)</w:t>
      </w:r>
      <w:r>
        <w:t xml:space="preserve">.</w:t>
      </w:r>
    </w:p>
    <w:p>
      <w:pPr>
        <w:pStyle w:val="Heading2"/>
      </w:pPr>
      <w:r>
        <w:t xml:space="preserve">1.3	</w:t>
      </w:r>
      <w:r>
        <w:t xml:space="preserve">Treatments</w:t>
      </w:r>
    </w:p>
    <w:p>
      <w:r>
        <w:t xml:space="preserve">California has identified more than 20 million acres that need fuel treatment across various landscape types to reduce hazardous vegetation. For this analysis, treatment needs are narrowed to private forest lands and privately owned forested areas with 20% or more canopy cover. Treatment for forests includes prescribed burning, selective harvesting and thinning, herbicide applications, and constructing fuel breaks. These interventions reduce fuels that generate catastrophic fire conditions and slow-burning fires, provide buffer zones to limit crown fires and return forest lands to a state that can support low-intensity fires. In collaboration with many federal, state, local, and non-government entities, the Forest Management Task Force published California’s Wildfire and Forest Resilience Action Plan, which aims to treat one million acres of state and federal land annually by 2025 </w:t>
      </w:r>
      <w:r>
        <w:t xml:space="preserve">WFRTF (2021)</w:t>
      </w:r>
      <w:r>
        <w:t xml:space="preserve">.</w:t>
      </w:r>
    </w:p>
    <w:p>
      <w:pPr>
        <w:pStyle w:val="Heading2"/>
      </w:pPr>
      <w:r>
        <w:t xml:space="preserve">1.4	</w:t>
      </w:r>
      <w:r>
        <w:t xml:space="preserve">Methods</w:t>
      </w:r>
    </w:p>
    <w:p>
      <w:r>
        <w:t xml:space="preserve">This research focuses on the spatial overlap of wildfire treatment needs within private forests in low-income regions. QGIS was used to create spatial overlaps of different maps, including land ownership, poverty, treatment, and forest mapping datasets. Python was used for statistical analysis. Previous studies have examined the relationship between populations and past wildfires, but few have analyzed the forward-looking treatment needs at a census tract level </w:t>
      </w:r>
      <w:r>
        <w:t xml:space="preserve">Hatfield (2001)</w:t>
      </w:r>
      <w:r>
        <w:t xml:space="preserve"> </w:t>
      </w:r>
      <w:r>
        <w:t xml:space="preserve">Shahir Masri </w:t>
      </w:r>
      <w:r>
        <w:rPr>
          <w:i/>
          <w:iCs/>
        </w:rPr>
        <w:t xml:space="preserve">et al.</w:t>
      </w:r>
      <w:r>
        <w:t xml:space="preserve"> (2021)</w:t>
      </w:r>
      <w:r>
        <w:t xml:space="preserve">.</w:t>
      </w:r>
    </w:p>
    <w:p>
      <w:pPr>
        <w:pStyle w:val="Heading3"/>
      </w:pPr>
      <w:r>
        <w:t xml:space="preserve">1.4.1	</w:t>
      </w:r>
      <w:r>
        <w:t xml:space="preserve">Definitions</w:t>
      </w:r>
    </w:p>
    <w:p>
      <w:pPr>
        <w:pStyle w:val="ListParagraph"/>
        <w:numPr>
          <w:ilvl w:val="0"/>
          <w:numId w:val="9"/>
        </w:numPr>
      </w:pPr>
      <w:r>
        <w:t xml:space="preserve">Forest and Wildfire Fuel Treatment: Treatment includes prescribed burning, mechanical treatment, manual treatments, herbicide application, and prescribed herbivory to reduce hazardous vegetation, constructing fuel breaks, and ecological restoration </w:t>
      </w:r>
      <w:r>
        <w:t xml:space="preserve">Environmental (2024)</w:t>
      </w:r>
      <w:r>
        <w:t xml:space="preserve">.</w:t>
      </w:r>
    </w:p>
    <w:p>
      <w:pPr>
        <w:pStyle w:val="ListParagraph"/>
        <w:numPr>
          <w:ilvl w:val="0"/>
          <w:numId w:val="9"/>
        </w:numPr>
      </w:pPr>
      <w:r>
        <w:t xml:space="preserve">Poverty Rate: California Environmental Protection Agency’s Office of Environmental Health Hazard Assessment defines this as the percent of the population living below two times the federal poverty level from a 5-year estimate for 2015-2019 </w:t>
      </w:r>
      <w:r>
        <w:t xml:space="preserve">PPIC (2024)</w:t>
      </w:r>
      <w:r>
        <w:t xml:space="preserve">.</w:t>
      </w:r>
    </w:p>
    <w:p>
      <w:pPr>
        <w:pStyle w:val="ListParagraph"/>
        <w:numPr>
          <w:ilvl w:val="0"/>
          <w:numId w:val="9"/>
        </w:numPr>
      </w:pPr>
      <w:r>
        <w:t xml:space="preserve">Poverty Population Threshold: High Poverty 20%; Extreme Poverty 40%. The USDA defines areas of “high poverty” as those with a poverty rate of 20%+ and “extreme poverty” as those with a poverty rate of 40%+ </w:t>
      </w:r>
      <w:r>
        <w:t xml:space="preserve">USDA (2023)</w:t>
      </w:r>
      <w:r>
        <w:t xml:space="preserve">.</w:t>
      </w:r>
    </w:p>
    <w:p>
      <w:pPr>
        <w:pStyle w:val="Heading3"/>
      </w:pPr>
      <w:r>
        <w:t xml:space="preserve">1.4.2	</w:t>
      </w:r>
      <w:r>
        <w:t xml:space="preserve">Datasets</w:t>
      </w:r>
    </w:p>
    <w:p>
      <w:r>
        <w:t xml:space="preserve">The following datasets were used for the study:</w:t>
      </w:r>
    </w:p>
    <w:p>
      <w:pPr>
        <w:pStyle w:val="ListParagraph"/>
        <w:numPr>
          <w:ilvl w:val="0"/>
          <w:numId w:val="10"/>
        </w:numPr>
      </w:pPr>
      <w:r>
        <w:t xml:space="preserve">Land Ownership Dataset: CAL FIRE’s California Land Ownership dataset and the California Census Tract Dataset identify public lands.</w:t>
      </w:r>
    </w:p>
    <w:p>
      <w:pPr>
        <w:pStyle w:val="ListParagraph"/>
        <w:numPr>
          <w:ilvl w:val="0"/>
          <w:numId w:val="10"/>
        </w:numPr>
      </w:pPr>
      <w:r>
        <w:t xml:space="preserve">Forest Dataset: the 2021 National Land Cover Database </w:t>
      </w:r>
      <w:r>
        <w:t xml:space="preserve">USGS (2018)</w:t>
      </w:r>
      <w:r>
        <w:t xml:space="preserve">. It is critical to note that the National Land Cover Database has identified three types of forests: Deciduous forests, evergreen forests, and mixed forests. To be labeled a forest, these regions’ trees must comprise more than 20% of the total vegetation cover. This definition of a forest differs from that of USDA’s Forest Inventory Analysis (FIA), which defines a forest as an area with at least 10% canopy cover and is for forestry use. As a result, the total acres of forest in California from FIA and NLCD are different, 19 million acres and 31 million acres, respectively. Additionally, in the NLCD dataset, there is no distinction between industrial private and non-industrial private forest lands.</w:t>
      </w:r>
    </w:p>
    <w:p>
      <w:pPr>
        <w:pStyle w:val="ListParagraph"/>
        <w:numPr>
          <w:ilvl w:val="0"/>
          <w:numId w:val="10"/>
        </w:numPr>
      </w:pPr>
      <w:r>
        <w:t xml:space="preserve">Forest and Wildfire Fuel Treatment Dataset: CAL Vegetation Treatment Program Environmental Impact Report and dataset California Vegetation Treatable Landscape</w:t>
      </w:r>
    </w:p>
    <w:p>
      <w:pPr>
        <w:pStyle w:val="ListParagraph"/>
        <w:numPr>
          <w:ilvl w:val="0"/>
          <w:numId w:val="10"/>
        </w:numPr>
      </w:pPr>
      <w:r>
        <w:t xml:space="preserve">Acres Treated Dataset: California Wildfire &amp; Forest Resilience Task Force’s Beta Interagency Treatment Dashboard. Most of the information captured in this dashboard related to forest treatment activities was used to identify the number of forest acres treated. There were 93,000 acres of targeted grazing (of the total 751,467 acres treated); however, it was unclear if it was forest-related and was included nonetheless.</w:t>
      </w:r>
    </w:p>
    <w:p>
      <w:pPr>
        <w:pStyle w:val="Heading2"/>
      </w:pPr>
      <w:r>
        <w:t xml:space="preserve">1.5	</w:t>
      </w:r>
      <w:r>
        <w:t xml:space="preserve">Key Findings</w:t>
      </w:r>
    </w:p>
    <w:p>
      <w:r>
        <w:t xml:space="preserve">This research has identified several critical insights that underscore the complex relationship between wildfire treatment needs and economic vulnerability in California. It has also provided a way to identify high-impact opportunity areas where financial assistance might have a greater socio-economic and environmental impact. Key findings include</w:t>
      </w:r>
    </w:p>
    <w:p>
      <w:pPr>
        <w:pStyle w:val="ListParagraph"/>
        <w:numPr>
          <w:ilvl w:val="0"/>
          <w:numId w:val="11"/>
        </w:numPr>
      </w:pPr>
      <w:r>
        <w:rPr>
          <w:b/>
          <w:bCs/>
        </w:rPr>
        <w:t xml:space="preserve">More than 33% of the state’s wildfire treatment needs are on private forest land</w:t>
      </w:r>
      <w:r>
        <w:t xml:space="preserve">. Of the roughly 20 million acres of treatable lands across landscape types, 18 million acres are private lands; of that, 6.7 million acres are private forests (</w:t>
      </w:r>
      <w:r>
        <w:t xml:space="preserve">Figure </w:t>
      </w:r>
      <w:r>
        <w:t xml:space="preserve">1.3</w:t>
      </w:r>
      <w:r>
        <w:t xml:space="preserve">).</w:t>
      </w:r>
    </w:p>
    <w:p>
      <w:pPr>
        <w:pStyle w:val="ListParagraph"/>
        <w:numPr>
          <w:ilvl w:val="0"/>
          <w:numId w:val="11"/>
        </w:numPr>
      </w:pPr>
      <w:r>
        <w:t xml:space="preserve">Of the 6.7 million private forest treatable acres, </w:t>
      </w:r>
      <w:r>
        <w:rPr>
          <w:b/>
          <w:bCs/>
        </w:rPr>
        <w:t xml:space="preserve">4 million acres are concentrated in High Poverty Census Tracts</w:t>
      </w:r>
      <w:r>
        <w:t xml:space="preserve">. That is, 60% of total private treatment needs are concentrated in areas where the poverty rate exceeds 20%—2x the national average.</w:t>
      </w:r>
    </w:p>
    <w:p>
      <w:pPr>
        <w:pStyle w:val="ListParagraph"/>
        <w:numPr>
          <w:ilvl w:val="0"/>
          <w:numId w:val="11"/>
        </w:numPr>
      </w:pPr>
      <w:r>
        <w:t xml:space="preserve">Of the 6.7 million private forest treatable acres, </w:t>
      </w:r>
      <w:r>
        <w:rPr>
          <w:b/>
          <w:bCs/>
        </w:rPr>
        <w:t xml:space="preserve">over 1.6 million acres are concentrated in Extreme Poverty Census Tracts</w:t>
      </w:r>
      <w:r>
        <w:t xml:space="preserve"> (</w:t>
      </w:r>
      <w:r>
        <w:t xml:space="preserve">Figure </w:t>
      </w:r>
      <w:r>
        <w:t xml:space="preserve">1.3</w:t>
      </w:r>
      <w:r>
        <w:t xml:space="preserve">). About 25% of total private treatment needs are located in areas where the poverty rate exceeds 40%—4x the national average.</w:t>
      </w:r>
    </w:p>
    <w:p>
      <w:pPr>
        <w:pStyle w:val="ListParagraph"/>
        <w:numPr>
          <w:ilvl w:val="0"/>
          <w:numId w:val="11"/>
        </w:numPr>
      </w:pPr>
      <w:r>
        <w:rPr>
          <w:b/>
          <w:bCs/>
        </w:rPr>
        <w:t xml:space="preserve">Three of 58 counties make up half of treatable forests in Extreme Poverty Zones</w:t>
      </w:r>
      <w:r>
        <w:t xml:space="preserve">. Mendocino, Humboldt, and Tehama have nearly 822,000 acres of private forest in Extreme Poverty lands requiring fuel reduction.</w:t>
      </w:r>
    </w:p>
    <w:p>
      <w:pPr>
        <w:pStyle w:val="ListParagraph"/>
        <w:numPr>
          <w:ilvl w:val="0"/>
          <w:numId w:val="11"/>
        </w:numPr>
      </w:pPr>
      <w:r>
        <w:rPr>
          <w:b/>
          <w:bCs/>
        </w:rPr>
        <w:t xml:space="preserve">Current treatment levels are falling short</w:t>
      </w:r>
      <w:r>
        <w:t xml:space="preserve">. In 2022, 86,000 acres were treated on private lands. If California continues at this rate, addressing the total private forest need will take more than 75 years.</w:t>
      </w:r>
    </w:p>
    <w:p>
      <w:pPr>
        <w:jc w:val="center"/>
      </w:pPr>
      <w:r>
        <w:drawing>
          <wp:inline distT="0" distB="0" distL="0" distR="0">
            <wp:extent cx="4000500" cy="2250281"/>
            <wp:effectExtent b="0" l="0" r="0" t="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2250281"/>
                    </a:xfrm>
                    <a:prstGeom prst="rect">
                      <a:avLst/>
                    </a:prstGeom>
                  </pic:spPr>
                </pic:pic>
              </a:graphicData>
            </a:graphic>
          </wp:inline>
        </w:drawing>
      </w:r>
    </w:p>
    <w:p>
      <w:pPr>
        <w:pStyle w:val="Caption"/>
      </w:pPr>
      <w:r>
        <w:rPr>
          <w:b/>
          <w:bCs/>
        </w:rPr>
        <w:t xml:space="preserve">Figure </w:t>
      </w:r>
      <w:r>
        <w:rPr>
          <w:b/>
          <w:bCs/>
        </w:rPr>
        <w:t xml:space="preserve">1.3</w:t>
      </w:r>
      <w:r>
        <w:rPr>
          <w:b/>
          <w:bCs/>
        </w:rPr>
        <w:t xml:space="preserve">:</w:t>
      </w:r>
      <w:r>
        <w:t xml:space="preserve"> </w:t>
      </w:r>
      <w:r>
        <w:t xml:space="preserve">Private forest treatment needs by total acres within counties at left and private forest treatment needs by total acres within extreme poverty counties at right.</w:t>
      </w:r>
    </w:p>
    <w:p>
      <w:r>
        <w:t xml:space="preserve">Top 5 counties with the greatest total acres of private treatable lands in extreme poverty (poverty rate &gt; 40), their acres in high poverty (poverty rate &gt; 20), and their acres treated in 2022 (Table 1).</w:t>
      </w:r>
    </w:p>
    <w:p>
      <w:r>
        <w:t xml:space="preserve">Table 1: Top 5 counties with the greatest total acres of private treatable lands in extreme poverty (poverty rate &gt; 40%), their acres in high poverty (poverty rate &gt; 20%), and their acres treated in 2022.</w:t>
      </w:r>
      <w:r>
        <w:rPr>
          <w:rStyle w:val="FootnoteReference"/>
        </w:rPr>
        <w:footnoteReference w:id="2"/>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val="false"/>
        </w:trPr>
        <w:tc>
          <w:p>
            <w:r>
              <w:t xml:space="preserve">County</w:t>
            </w:r>
          </w:p>
        </w:tc>
        <w:tc>
          <w:p>
            <w:r>
              <w:t xml:space="preserve">Treatment Need (acres)</w:t>
            </w:r>
          </w:p>
        </w:tc>
        <w:tc>
          <w:p>
            <w:r>
              <w:t xml:space="preserve">% High Poverty</w:t>
            </w:r>
          </w:p>
        </w:tc>
        <w:tc>
          <w:p>
            <w:r>
              <w:t xml:space="preserve">% Extreme Poverty</w:t>
            </w:r>
          </w:p>
        </w:tc>
        <w:tc>
          <w:p>
            <w:r>
              <w:t xml:space="preserve">Treated (acres)</w:t>
            </w:r>
          </w:p>
        </w:tc>
        <w:tc>
          <w:p>
            <w:r>
              <w:t xml:space="preserve">% Treatment Gap</w:t>
            </w:r>
          </w:p>
        </w:tc>
      </w:tr>
      <w:tr>
        <w:trPr>
          <w:tblHeader/>
        </w:trPr>
        <w:tc>
          <w:p>
            <w:r>
              <w:t xml:space="preserve">Mendocino</w:t>
            </w:r>
          </w:p>
        </w:tc>
        <w:tc>
          <w:p>
            <w:r>
              <w:t xml:space="preserve">690,543</w:t>
            </w:r>
          </w:p>
        </w:tc>
        <w:tc>
          <w:p>
            <w:r>
              <w:t xml:space="preserve">100</w:t>
            </w:r>
          </w:p>
        </w:tc>
        <w:tc>
          <w:p>
            <w:r>
              <w:t xml:space="preserve">58</w:t>
            </w:r>
          </w:p>
        </w:tc>
        <w:tc>
          <w:p>
            <w:r>
              <w:t xml:space="preserve">714</w:t>
            </w:r>
          </w:p>
        </w:tc>
        <w:tc>
          <w:p>
            <w:r>
              <w:t xml:space="preserve">99.9</w:t>
            </w:r>
          </w:p>
        </w:tc>
      </w:tr>
      <w:tr>
        <w:trPr>
          <w:tblHeader/>
        </w:trPr>
        <w:tc>
          <w:p>
            <w:r>
              <w:t xml:space="preserve">Humboldt</w:t>
            </w:r>
          </w:p>
        </w:tc>
        <w:tc>
          <w:p>
            <w:r>
              <w:t xml:space="preserve">921,938</w:t>
            </w:r>
          </w:p>
        </w:tc>
        <w:tc>
          <w:p>
            <w:r>
              <w:t xml:space="preserve">100</w:t>
            </w:r>
          </w:p>
        </w:tc>
        <w:tc>
          <w:p>
            <w:r>
              <w:t xml:space="preserve">28</w:t>
            </w:r>
          </w:p>
        </w:tc>
        <w:tc>
          <w:p>
            <w:r>
              <w:t xml:space="preserve">1573</w:t>
            </w:r>
          </w:p>
        </w:tc>
        <w:tc>
          <w:p>
            <w:r>
              <w:t xml:space="preserve">99.8</w:t>
            </w:r>
          </w:p>
        </w:tc>
      </w:tr>
      <w:tr>
        <w:trPr>
          <w:tblHeader/>
        </w:trPr>
        <w:tc>
          <w:p>
            <w:r>
              <w:t xml:space="preserve">Tehama</w:t>
            </w:r>
          </w:p>
        </w:tc>
        <w:tc>
          <w:p>
            <w:r>
              <w:t xml:space="preserve">165,836</w:t>
            </w:r>
          </w:p>
        </w:tc>
        <w:tc>
          <w:p>
            <w:r>
              <w:t xml:space="preserve">100</w:t>
            </w:r>
          </w:p>
        </w:tc>
        <w:tc>
          <w:p>
            <w:r>
              <w:t xml:space="preserve">100</w:t>
            </w:r>
          </w:p>
        </w:tc>
        <w:tc>
          <w:p>
            <w:r>
              <w:t xml:space="preserve">6371</w:t>
            </w:r>
          </w:p>
        </w:tc>
        <w:tc>
          <w:p>
            <w:r>
              <w:t xml:space="preserve">96.2</w:t>
            </w:r>
          </w:p>
        </w:tc>
      </w:tr>
      <w:tr>
        <w:trPr>
          <w:tblHeader/>
        </w:trPr>
        <w:tc>
          <w:p>
            <w:r>
              <w:t xml:space="preserve">Shasta</w:t>
            </w:r>
          </w:p>
        </w:tc>
        <w:tc>
          <w:p>
            <w:r>
              <w:t xml:space="preserve">556,829</w:t>
            </w:r>
          </w:p>
        </w:tc>
        <w:tc>
          <w:p>
            <w:r>
              <w:t xml:space="preserve">100</w:t>
            </w:r>
          </w:p>
        </w:tc>
        <w:tc>
          <w:p>
            <w:r>
              <w:t xml:space="preserve">29</w:t>
            </w:r>
          </w:p>
        </w:tc>
        <w:tc>
          <w:p>
            <w:r>
              <w:t xml:space="preserve">7156</w:t>
            </w:r>
          </w:p>
        </w:tc>
        <w:tc>
          <w:p>
            <w:r>
              <w:t xml:space="preserve">98.7</w:t>
            </w:r>
          </w:p>
        </w:tc>
      </w:tr>
      <w:tr>
        <w:trPr>
          <w:tblHeader/>
        </w:trPr>
        <w:tc>
          <w:p>
            <w:r>
              <w:t xml:space="preserve">Siskiyou</w:t>
            </w:r>
          </w:p>
        </w:tc>
        <w:tc>
          <w:p>
            <w:r>
              <w:t xml:space="preserve">523,573</w:t>
            </w:r>
          </w:p>
        </w:tc>
        <w:tc>
          <w:p>
            <w:r>
              <w:t xml:space="preserve">100</w:t>
            </w:r>
          </w:p>
        </w:tc>
        <w:tc>
          <w:p>
            <w:r>
              <w:t xml:space="preserve">22</w:t>
            </w:r>
          </w:p>
        </w:tc>
        <w:tc>
          <w:p>
            <w:r>
              <w:t xml:space="preserve">4727</w:t>
            </w:r>
          </w:p>
        </w:tc>
        <w:tc>
          <w:p>
            <w:r>
              <w:t xml:space="preserve">99.1</w:t>
            </w:r>
          </w:p>
        </w:tc>
      </w:tr>
    </w:tbl>
    <w:p>
      <w:r>
        <w:t xml:space="preserve"/>
      </w:r>
    </w:p>
    <w:p>
      <w:pPr>
        <w:pStyle w:val="Heading2"/>
      </w:pPr>
      <w:r>
        <w:t xml:space="preserve">1.6	</w:t>
      </w:r>
      <w:r>
        <w:t xml:space="preserve">Next Steps</w:t>
      </w:r>
    </w:p>
    <w:p>
      <w:r>
        <w:t xml:space="preserve">The challenges California’s diverse ecosystems face are compounded by the increasing frequency and intensity of wildfires driven by climate change. Low-income communities have been disproportionately affected by wildfires, experiencing higher health and economic burdens. This research confirms that low-income and underserved communities comprise most of California’s fuel treatment needs but treat landscapes at rates that would take decades, if not centuries, to complete.</w:t>
      </w:r>
    </w:p>
    <w:p>
      <w:r>
        <w:t xml:space="preserve">California can better safeguard its natural landscapes and most vulnerable populations by aligning wildfire treatment strategies with socio-economic resilience measures. Future studies and policy developments should prioritize these high-risk, high-need areas to foster a more equitable and effective approach to wildfire management and climate adaptation. Future research can delve deeper into granular information on the different treatment types across geographies, gather parcel-level data, and explore permitting, planning, and aggregation issues to conduct larger-scale fuel treatments in the state.</w:t>
      </w:r>
    </w:p>
    <w:p>
      <w:pPr>
        <w:pStyle w:val="Heading2"/>
      </w:pPr>
      <w:r>
        <w:t xml:space="preserve">1.7	</w:t>
      </w:r>
      <w:r>
        <w:t xml:space="preserve">Appendix</w:t>
      </w:r>
    </w:p>
    <w:p>
      <w:r>
        <w:t xml:space="preserve">Table 2. Treatable privately owned acres in high and extreme poverty, total activity acres, and total activity acres on private land. </w:t>
      </w:r>
      <w:r>
        <w:rPr>
          <w:rStyle w:val="FootnoteReference"/>
        </w:rPr>
        <w:footnoteReference w:id="3"/>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val="false"/>
        </w:trPr>
        <w:tc>
          <w:p>
            <w:r>
              <w:t xml:space="preserve">County</w:t>
            </w:r>
          </w:p>
        </w:tc>
        <w:tc>
          <w:p>
            <w:r>
              <w:t xml:space="preserve">Treatment Need (acres)</w:t>
            </w:r>
          </w:p>
        </w:tc>
        <w:tc>
          <w:p>
            <w:r>
              <w:t xml:space="preserve">% High Poverty</w:t>
            </w:r>
          </w:p>
        </w:tc>
        <w:tc>
          <w:p>
            <w:r>
              <w:t xml:space="preserve">% Extreme Poverty</w:t>
            </w:r>
          </w:p>
        </w:tc>
        <w:tc>
          <w:p>
            <w:r>
              <w:t xml:space="preserve">Treated (acres)</w:t>
            </w:r>
          </w:p>
        </w:tc>
        <w:tc>
          <w:p>
            <w:r>
              <w:t xml:space="preserve">% Treatment Gap</w:t>
            </w:r>
          </w:p>
        </w:tc>
      </w:tr>
      <w:tr>
        <w:trPr>
          <w:tblHeader/>
        </w:trPr>
        <w:tc>
          <w:p>
            <w:r>
              <w:t xml:space="preserve">Alameda</w:t>
            </w:r>
          </w:p>
        </w:tc>
        <w:tc>
          <w:p>
            <w:r>
              <w:t xml:space="preserve">31,109</w:t>
            </w:r>
          </w:p>
        </w:tc>
        <w:tc>
          <w:p>
            <w:r>
              <w:t xml:space="preserve">0</w:t>
            </w:r>
          </w:p>
        </w:tc>
        <w:tc>
          <w:p>
            <w:r>
              <w:t xml:space="preserve">0</w:t>
            </w:r>
          </w:p>
        </w:tc>
        <w:tc>
          <w:p>
            <w:r>
              <w:t xml:space="preserve">129</w:t>
            </w:r>
          </w:p>
        </w:tc>
        <w:tc>
          <w:p>
            <w:r>
              <w:t xml:space="preserve">99.6</w:t>
            </w:r>
          </w:p>
        </w:tc>
      </w:tr>
      <w:tr>
        <w:trPr>
          <w:tblHeader/>
        </w:trPr>
        <w:tc>
          <w:p>
            <w:r>
              <w:t xml:space="preserve">Alpine</w:t>
            </w:r>
          </w:p>
        </w:tc>
        <w:tc>
          <w:p>
            <w:r>
              <w:t xml:space="preserve">3,963</w:t>
            </w:r>
          </w:p>
        </w:tc>
        <w:tc>
          <w:p>
            <w:r>
              <w:t xml:space="preserve">100</w:t>
            </w:r>
          </w:p>
        </w:tc>
        <w:tc>
          <w:p>
            <w:r>
              <w:t xml:space="preserve">0</w:t>
            </w:r>
          </w:p>
        </w:tc>
        <w:tc>
          <w:p>
            <w:r>
              <w:t xml:space="preserve">13</w:t>
            </w:r>
          </w:p>
        </w:tc>
        <w:tc>
          <w:p>
            <w:r>
              <w:t xml:space="preserve">99.7</w:t>
            </w:r>
          </w:p>
        </w:tc>
      </w:tr>
      <w:tr>
        <w:trPr>
          <w:tblHeader/>
        </w:trPr>
        <w:tc>
          <w:p>
            <w:r>
              <w:t xml:space="preserve">Amador</w:t>
            </w:r>
          </w:p>
        </w:tc>
        <w:tc>
          <w:p>
            <w:r>
              <w:t xml:space="preserve">106,109</w:t>
            </w:r>
          </w:p>
        </w:tc>
        <w:tc>
          <w:p>
            <w:r>
              <w:t xml:space="preserve">84</w:t>
            </w:r>
          </w:p>
        </w:tc>
        <w:tc>
          <w:p>
            <w:r>
              <w:t xml:space="preserve">20</w:t>
            </w:r>
          </w:p>
        </w:tc>
        <w:tc>
          <w:p>
            <w:r>
              <w:t xml:space="preserve">342</w:t>
            </w:r>
          </w:p>
        </w:tc>
        <w:tc>
          <w:p>
            <w:r>
              <w:t xml:space="preserve">99.7</w:t>
            </w:r>
          </w:p>
        </w:tc>
      </w:tr>
      <w:tr>
        <w:trPr>
          <w:tblHeader/>
        </w:trPr>
        <w:tc>
          <w:p>
            <w:r>
              <w:t xml:space="preserve">Butte</w:t>
            </w:r>
          </w:p>
        </w:tc>
        <w:tc>
          <w:p>
            <w:r>
              <w:t xml:space="preserve">153,314</w:t>
            </w:r>
          </w:p>
        </w:tc>
        <w:tc>
          <w:p>
            <w:r>
              <w:t xml:space="preserve">64</w:t>
            </w:r>
          </w:p>
        </w:tc>
        <w:tc>
          <w:p>
            <w:r>
              <w:t xml:space="preserve">53</w:t>
            </w:r>
          </w:p>
        </w:tc>
        <w:tc>
          <w:p>
            <w:r>
              <w:t xml:space="preserve">2400</w:t>
            </w:r>
          </w:p>
        </w:tc>
        <w:tc>
          <w:p>
            <w:r>
              <w:t xml:space="preserve">98.4</w:t>
            </w:r>
          </w:p>
        </w:tc>
      </w:tr>
      <w:tr>
        <w:trPr>
          <w:tblHeader/>
        </w:trPr>
        <w:tc>
          <w:p>
            <w:r>
              <w:t xml:space="preserve">Calaveras</w:t>
            </w:r>
          </w:p>
        </w:tc>
        <w:tc>
          <w:p>
            <w:r>
              <w:t xml:space="preserve">141,309</w:t>
            </w:r>
          </w:p>
        </w:tc>
        <w:tc>
          <w:p>
            <w:r>
              <w:t xml:space="preserve">96</w:t>
            </w:r>
          </w:p>
        </w:tc>
        <w:tc>
          <w:p>
            <w:r>
              <w:t xml:space="preserve">47</w:t>
            </w:r>
          </w:p>
        </w:tc>
        <w:tc>
          <w:p>
            <w:r>
              <w:t xml:space="preserve">2782</w:t>
            </w:r>
          </w:p>
        </w:tc>
        <w:tc>
          <w:p>
            <w:r>
              <w:t xml:space="preserve">98.0</w:t>
            </w:r>
          </w:p>
        </w:tc>
      </w:tr>
      <w:tr>
        <w:trPr>
          <w:tblHeader/>
        </w:trPr>
        <w:tc>
          <w:p>
            <w:r>
              <w:t xml:space="preserve">Colusa</w:t>
            </w:r>
          </w:p>
        </w:tc>
        <w:tc>
          <w:p>
            <w:r>
              <w:t xml:space="preserve">696</w:t>
            </w:r>
          </w:p>
        </w:tc>
        <w:tc>
          <w:p>
            <w:r>
              <w:t xml:space="preserve">100</w:t>
            </w:r>
          </w:p>
        </w:tc>
        <w:tc>
          <w:p>
            <w:r>
              <w:t xml:space="preserve">66</w:t>
            </w:r>
          </w:p>
        </w:tc>
        <w:tc>
          <w:p>
            <w:r>
              <w:t xml:space="preserve">1264</w:t>
            </w:r>
          </w:p>
        </w:tc>
        <w:tc>
          <w:p>
            <w:r>
              <w:t xml:space="preserve">0.0</w:t>
            </w:r>
          </w:p>
        </w:tc>
      </w:tr>
      <w:tr>
        <w:trPr>
          <w:tblHeader/>
        </w:trPr>
        <w:tc>
          <w:p>
            <w:r>
              <w:t xml:space="preserve">Contra Costa</w:t>
            </w:r>
          </w:p>
        </w:tc>
        <w:tc>
          <w:p>
            <w:r>
              <w:t xml:space="preserve">15,563</w:t>
            </w:r>
          </w:p>
        </w:tc>
        <w:tc>
          <w:p>
            <w:r>
              <w:t xml:space="preserve">1</w:t>
            </w:r>
          </w:p>
        </w:tc>
        <w:tc>
          <w:p>
            <w:r>
              <w:t xml:space="preserve">0</w:t>
            </w:r>
          </w:p>
        </w:tc>
        <w:tc>
          <w:p>
            <w:r>
              <w:t xml:space="preserve">0</w:t>
            </w:r>
          </w:p>
        </w:tc>
        <w:tc>
          <w:p>
            <w:r>
              <w:t xml:space="preserve">100.0</w:t>
            </w:r>
          </w:p>
        </w:tc>
      </w:tr>
      <w:tr>
        <w:trPr>
          <w:tblHeader/>
        </w:trPr>
        <w:tc>
          <w:p>
            <w:r>
              <w:t xml:space="preserve">Del Norte</w:t>
            </w:r>
          </w:p>
        </w:tc>
        <w:tc>
          <w:p>
            <w:r>
              <w:t xml:space="preserve">83,019</w:t>
            </w:r>
          </w:p>
        </w:tc>
        <w:tc>
          <w:p>
            <w:r>
              <w:t xml:space="preserve">100</w:t>
            </w:r>
          </w:p>
        </w:tc>
        <w:tc>
          <w:p>
            <w:r>
              <w:t xml:space="preserve">48</w:t>
            </w:r>
          </w:p>
        </w:tc>
        <w:tc>
          <w:p>
            <w:r>
              <w:t xml:space="preserve">0</w:t>
            </w:r>
          </w:p>
        </w:tc>
        <w:tc>
          <w:p>
            <w:r>
              <w:t xml:space="preserve">100.0</w:t>
            </w:r>
          </w:p>
        </w:tc>
      </w:tr>
      <w:tr>
        <w:trPr>
          <w:tblHeader/>
        </w:trPr>
        <w:tc>
          <w:p>
            <w:r>
              <w:t xml:space="preserve">El Dorado</w:t>
            </w:r>
          </w:p>
        </w:tc>
        <w:tc>
          <w:p>
            <w:r>
              <w:t xml:space="preserve">281,940</w:t>
            </w:r>
          </w:p>
        </w:tc>
        <w:tc>
          <w:p>
            <w:r>
              <w:t xml:space="preserve">71</w:t>
            </w:r>
          </w:p>
        </w:tc>
        <w:tc>
          <w:p>
            <w:r>
              <w:t xml:space="preserve">15</w:t>
            </w:r>
          </w:p>
        </w:tc>
        <w:tc>
          <w:p>
            <w:r>
              <w:t xml:space="preserve">1821</w:t>
            </w:r>
          </w:p>
        </w:tc>
        <w:tc>
          <w:p>
            <w:r>
              <w:t xml:space="preserve">99.4</w:t>
            </w:r>
          </w:p>
        </w:tc>
      </w:tr>
      <w:tr>
        <w:trPr>
          <w:tblHeader/>
        </w:trPr>
        <w:tc>
          <w:p>
            <w:r>
              <w:t xml:space="preserve">Fresno</w:t>
            </w:r>
          </w:p>
        </w:tc>
        <w:tc>
          <w:p>
            <w:r>
              <w:t xml:space="preserve">89,896</w:t>
            </w:r>
          </w:p>
        </w:tc>
        <w:tc>
          <w:p>
            <w:r>
              <w:t xml:space="preserve">53</w:t>
            </w:r>
          </w:p>
        </w:tc>
        <w:tc>
          <w:p>
            <w:r>
              <w:t xml:space="preserve">11</w:t>
            </w:r>
          </w:p>
        </w:tc>
        <w:tc>
          <w:p>
            <w:r>
              <w:t xml:space="preserve">2129</w:t>
            </w:r>
          </w:p>
        </w:tc>
        <w:tc>
          <w:p>
            <w:r>
              <w:t xml:space="preserve">97.6</w:t>
            </w:r>
          </w:p>
        </w:tc>
      </w:tr>
      <w:tr>
        <w:trPr>
          <w:tblHeader/>
        </w:trPr>
        <w:tc>
          <w:p>
            <w:r>
              <w:t xml:space="preserve">Glenn</w:t>
            </w:r>
          </w:p>
        </w:tc>
        <w:tc>
          <w:p>
            <w:r>
              <w:t xml:space="preserve">526</w:t>
            </w:r>
          </w:p>
        </w:tc>
        <w:tc>
          <w:p>
            <w:r>
              <w:t xml:space="preserve">0</w:t>
            </w:r>
          </w:p>
        </w:tc>
        <w:tc>
          <w:p>
            <w:r>
              <w:t xml:space="preserve">0</w:t>
            </w:r>
          </w:p>
        </w:tc>
        <w:tc>
          <w:p>
            <w:r>
              <w:t xml:space="preserve">163</w:t>
            </w:r>
          </w:p>
        </w:tc>
        <w:tc>
          <w:p>
            <w:r>
              <w:t xml:space="preserve">69.1</w:t>
            </w:r>
          </w:p>
        </w:tc>
      </w:tr>
      <w:tr>
        <w:trPr>
          <w:tblHeader/>
        </w:trPr>
        <w:tc>
          <w:p>
            <w:r>
              <w:t xml:space="preserve">Humboldt</w:t>
            </w:r>
          </w:p>
        </w:tc>
        <w:tc>
          <w:p>
            <w:r>
              <w:t xml:space="preserve">921,938</w:t>
            </w:r>
          </w:p>
        </w:tc>
        <w:tc>
          <w:p>
            <w:r>
              <w:t xml:space="preserve">100</w:t>
            </w:r>
          </w:p>
        </w:tc>
        <w:tc>
          <w:p>
            <w:r>
              <w:t xml:space="preserve">28</w:t>
            </w:r>
          </w:p>
        </w:tc>
        <w:tc>
          <w:p>
            <w:r>
              <w:t xml:space="preserve">1573</w:t>
            </w:r>
          </w:p>
        </w:tc>
        <w:tc>
          <w:p>
            <w:r>
              <w:t xml:space="preserve">99.8</w:t>
            </w:r>
          </w:p>
        </w:tc>
      </w:tr>
      <w:tr>
        <w:trPr>
          <w:tblHeader/>
        </w:trPr>
        <w:tc>
          <w:p>
            <w:r>
              <w:t xml:space="preserve">Imperial</w:t>
            </w:r>
          </w:p>
        </w:tc>
        <w:tc>
          <w:p>
            <w:r>
              <w:t xml:space="preserve">0</w:t>
            </w:r>
          </w:p>
        </w:tc>
        <w:tc>
          <w:p>
            <w:r>
              <w:t xml:space="preserve">0</w:t>
            </w:r>
          </w:p>
        </w:tc>
        <w:tc>
          <w:p>
            <w:r>
              <w:t xml:space="preserve">0</w:t>
            </w:r>
          </w:p>
        </w:tc>
        <w:tc>
          <w:p>
            <w:r>
              <w:t xml:space="preserve">377</w:t>
            </w:r>
          </w:p>
        </w:tc>
        <w:tc>
          <w:p>
            <w:r>
              <w:t xml:space="preserve">0.0</w:t>
            </w:r>
          </w:p>
        </w:tc>
      </w:tr>
      <w:tr>
        <w:trPr>
          <w:tblHeader/>
        </w:trPr>
        <w:tc>
          <w:p>
            <w:r>
              <w:t xml:space="preserve">Inyo</w:t>
            </w:r>
          </w:p>
        </w:tc>
        <w:tc>
          <w:p>
            <w:r>
              <w:t xml:space="preserve">242</w:t>
            </w:r>
          </w:p>
        </w:tc>
        <w:tc>
          <w:p>
            <w:r>
              <w:t xml:space="preserve">100</w:t>
            </w:r>
          </w:p>
        </w:tc>
        <w:tc>
          <w:p>
            <w:r>
              <w:t xml:space="preserve">17</w:t>
            </w:r>
          </w:p>
        </w:tc>
        <w:tc>
          <w:p>
            <w:r>
              <w:t xml:space="preserve">18</w:t>
            </w:r>
          </w:p>
        </w:tc>
        <w:tc>
          <w:p>
            <w:r>
              <w:t xml:space="preserve">92.6</w:t>
            </w:r>
          </w:p>
        </w:tc>
      </w:tr>
      <w:tr>
        <w:trPr>
          <w:tblHeader/>
        </w:trPr>
        <w:tc>
          <w:p>
            <w:r>
              <w:t xml:space="preserve">Kern</w:t>
            </w:r>
          </w:p>
        </w:tc>
        <w:tc>
          <w:p>
            <w:r>
              <w:t xml:space="preserve">102,736</w:t>
            </w:r>
          </w:p>
        </w:tc>
        <w:tc>
          <w:p>
            <w:r>
              <w:t xml:space="preserve">90</w:t>
            </w:r>
          </w:p>
        </w:tc>
        <w:tc>
          <w:p>
            <w:r>
              <w:t xml:space="preserve">14</w:t>
            </w:r>
          </w:p>
        </w:tc>
        <w:tc>
          <w:p>
            <w:r>
              <w:t xml:space="preserve">397</w:t>
            </w:r>
          </w:p>
        </w:tc>
        <w:tc>
          <w:p>
            <w:r>
              <w:t xml:space="preserve">99.6</w:t>
            </w:r>
          </w:p>
        </w:tc>
      </w:tr>
      <w:tr>
        <w:trPr>
          <w:tblHeader/>
        </w:trPr>
        <w:tc>
          <w:p>
            <w:r>
              <w:t xml:space="preserve">Kings</w:t>
            </w:r>
          </w:p>
        </w:tc>
        <w:tc>
          <w:p>
            <w:r>
              <w:t xml:space="preserve">48</w:t>
            </w:r>
          </w:p>
        </w:tc>
        <w:tc>
          <w:p>
            <w:r>
              <w:t xml:space="preserve">100</w:t>
            </w:r>
          </w:p>
        </w:tc>
        <w:tc>
          <w:p>
            <w:r>
              <w:t xml:space="preserve">100</w:t>
            </w:r>
          </w:p>
        </w:tc>
        <w:tc>
          <w:p>
            <w:r>
              <w:t xml:space="preserve">0</w:t>
            </w:r>
          </w:p>
        </w:tc>
        <w:tc>
          <w:p>
            <w:r>
              <w:t xml:space="preserve">100.0</w:t>
            </w:r>
          </w:p>
        </w:tc>
      </w:tr>
      <w:tr>
        <w:trPr>
          <w:tblHeader/>
        </w:trPr>
        <w:tc>
          <w:p>
            <w:r>
              <w:t xml:space="preserve">Lake</w:t>
            </w:r>
          </w:p>
        </w:tc>
        <w:tc>
          <w:p>
            <w:r>
              <w:t xml:space="preserve">52,480</w:t>
            </w:r>
          </w:p>
        </w:tc>
        <w:tc>
          <w:p>
            <w:r>
              <w:t xml:space="preserve">100</w:t>
            </w:r>
          </w:p>
        </w:tc>
        <w:tc>
          <w:p>
            <w:r>
              <w:t xml:space="preserve">17</w:t>
            </w:r>
          </w:p>
        </w:tc>
        <w:tc>
          <w:p>
            <w:r>
              <w:t xml:space="preserve">422</w:t>
            </w:r>
          </w:p>
        </w:tc>
        <w:tc>
          <w:p>
            <w:r>
              <w:t xml:space="preserve">99.2</w:t>
            </w:r>
          </w:p>
        </w:tc>
      </w:tr>
      <w:tr>
        <w:trPr>
          <w:tblHeader/>
        </w:trPr>
        <w:tc>
          <w:p>
            <w:r>
              <w:t xml:space="preserve">Lassen</w:t>
            </w:r>
          </w:p>
        </w:tc>
        <w:tc>
          <w:p>
            <w:r>
              <w:t xml:space="preserve">284,718</w:t>
            </w:r>
          </w:p>
        </w:tc>
        <w:tc>
          <w:p>
            <w:r>
              <w:t xml:space="preserve">100</w:t>
            </w:r>
          </w:p>
        </w:tc>
        <w:tc>
          <w:p>
            <w:r>
              <w:t xml:space="preserve">1</w:t>
            </w:r>
          </w:p>
        </w:tc>
        <w:tc>
          <w:p>
            <w:r>
              <w:t xml:space="preserve">5948</w:t>
            </w:r>
          </w:p>
        </w:tc>
        <w:tc>
          <w:p>
            <w:r>
              <w:t xml:space="preserve">97.9</w:t>
            </w:r>
          </w:p>
        </w:tc>
      </w:tr>
      <w:tr>
        <w:trPr>
          <w:tblHeader/>
        </w:trPr>
        <w:tc>
          <w:p>
            <w:r>
              <w:t xml:space="preserve">Los Angeles</w:t>
            </w:r>
          </w:p>
        </w:tc>
        <w:tc>
          <w:p>
            <w:r>
              <w:t xml:space="preserve">5,289</w:t>
            </w:r>
          </w:p>
        </w:tc>
        <w:tc>
          <w:p>
            <w:r>
              <w:t xml:space="preserve">31</w:t>
            </w:r>
          </w:p>
        </w:tc>
        <w:tc>
          <w:p>
            <w:r>
              <w:t xml:space="preserve">0</w:t>
            </w:r>
          </w:p>
        </w:tc>
        <w:tc>
          <w:p>
            <w:r>
              <w:t xml:space="preserve">0</w:t>
            </w:r>
          </w:p>
        </w:tc>
        <w:tc>
          <w:p>
            <w:r>
              <w:t xml:space="preserve">100.0</w:t>
            </w:r>
          </w:p>
        </w:tc>
      </w:tr>
      <w:tr>
        <w:trPr>
          <w:tblHeader/>
        </w:trPr>
        <w:tc>
          <w:p>
            <w:r>
              <w:t xml:space="preserve">Madera</w:t>
            </w:r>
          </w:p>
        </w:tc>
        <w:tc>
          <w:p>
            <w:r>
              <w:t xml:space="preserve">120,475</w:t>
            </w:r>
          </w:p>
        </w:tc>
        <w:tc>
          <w:p>
            <w:r>
              <w:t xml:space="preserve">100</w:t>
            </w:r>
          </w:p>
        </w:tc>
        <w:tc>
          <w:p>
            <w:r>
              <w:t xml:space="preserve">11</w:t>
            </w:r>
          </w:p>
        </w:tc>
        <w:tc>
          <w:p>
            <w:r>
              <w:t xml:space="preserve">739</w:t>
            </w:r>
          </w:p>
        </w:tc>
        <w:tc>
          <w:p>
            <w:r>
              <w:t xml:space="preserve">99.4</w:t>
            </w:r>
          </w:p>
        </w:tc>
      </w:tr>
      <w:tr>
        <w:trPr>
          <w:tblHeader/>
        </w:trPr>
        <w:tc>
          <w:p>
            <w:r>
              <w:t xml:space="preserve">Marin</w:t>
            </w:r>
          </w:p>
        </w:tc>
        <w:tc>
          <w:p>
            <w:r>
              <w:t xml:space="preserve">36,009</w:t>
            </w:r>
          </w:p>
        </w:tc>
        <w:tc>
          <w:p>
            <w:r>
              <w:t xml:space="preserve">6</w:t>
            </w:r>
          </w:p>
        </w:tc>
        <w:tc>
          <w:p>
            <w:r>
              <w:t xml:space="preserve">0</w:t>
            </w:r>
          </w:p>
        </w:tc>
        <w:tc>
          <w:p>
            <w:r>
              <w:t xml:space="preserve">249</w:t>
            </w:r>
          </w:p>
        </w:tc>
        <w:tc>
          <w:p>
            <w:r>
              <w:t xml:space="preserve">99.3</w:t>
            </w:r>
          </w:p>
        </w:tc>
      </w:tr>
      <w:tr>
        <w:trPr>
          <w:tblHeader/>
        </w:trPr>
        <w:tc>
          <w:p>
            <w:r>
              <w:t xml:space="preserve">Mariposa</w:t>
            </w:r>
          </w:p>
        </w:tc>
        <w:tc>
          <w:p>
            <w:r>
              <w:t xml:space="preserve">116,805</w:t>
            </w:r>
          </w:p>
        </w:tc>
        <w:tc>
          <w:p>
            <w:r>
              <w:t xml:space="preserve">100</w:t>
            </w:r>
          </w:p>
        </w:tc>
        <w:tc>
          <w:p>
            <w:r>
              <w:t xml:space="preserve">17</w:t>
            </w:r>
          </w:p>
        </w:tc>
        <w:tc>
          <w:p>
            <w:r>
              <w:t xml:space="preserve">585</w:t>
            </w:r>
          </w:p>
        </w:tc>
        <w:tc>
          <w:p>
            <w:r>
              <w:t xml:space="preserve">99.5</w:t>
            </w:r>
          </w:p>
        </w:tc>
      </w:tr>
      <w:tr>
        <w:trPr>
          <w:tblHeader/>
        </w:trPr>
        <w:tc>
          <w:p>
            <w:r>
              <w:t xml:space="preserve">Mendocino</w:t>
            </w:r>
          </w:p>
        </w:tc>
        <w:tc>
          <w:p>
            <w:r>
              <w:t xml:space="preserve">690,543</w:t>
            </w:r>
          </w:p>
        </w:tc>
        <w:tc>
          <w:p>
            <w:r>
              <w:t xml:space="preserve">100</w:t>
            </w:r>
          </w:p>
        </w:tc>
        <w:tc>
          <w:p>
            <w:r>
              <w:t xml:space="preserve">58</w:t>
            </w:r>
          </w:p>
        </w:tc>
        <w:tc>
          <w:p>
            <w:r>
              <w:t xml:space="preserve">714</w:t>
            </w:r>
          </w:p>
        </w:tc>
        <w:tc>
          <w:p>
            <w:r>
              <w:t xml:space="preserve">99.9</w:t>
            </w:r>
          </w:p>
        </w:tc>
      </w:tr>
      <w:tr>
        <w:trPr>
          <w:tblHeader/>
        </w:trPr>
        <w:tc>
          <w:p>
            <w:r>
              <w:t xml:space="preserve">Merced</w:t>
            </w:r>
          </w:p>
        </w:tc>
        <w:tc>
          <w:p>
            <w:r>
              <w:t xml:space="preserve">11,094</w:t>
            </w:r>
          </w:p>
        </w:tc>
        <w:tc>
          <w:p>
            <w:r>
              <w:t xml:space="preserve">100</w:t>
            </w:r>
          </w:p>
        </w:tc>
        <w:tc>
          <w:p>
            <w:r>
              <w:t xml:space="preserve">100</w:t>
            </w:r>
          </w:p>
        </w:tc>
        <w:tc>
          <w:p>
            <w:r>
              <w:t xml:space="preserve">0</w:t>
            </w:r>
          </w:p>
        </w:tc>
        <w:tc>
          <w:p>
            <w:r>
              <w:t xml:space="preserve">100.0</w:t>
            </w:r>
          </w:p>
        </w:tc>
      </w:tr>
      <w:tr>
        <w:trPr>
          <w:tblHeader/>
        </w:trPr>
        <w:tc>
          <w:p>
            <w:r>
              <w:t xml:space="preserve">Modoc</w:t>
            </w:r>
          </w:p>
        </w:tc>
        <w:tc>
          <w:p>
            <w:r>
              <w:t xml:space="preserve">175,399</w:t>
            </w:r>
          </w:p>
        </w:tc>
        <w:tc>
          <w:p>
            <w:r>
              <w:t xml:space="preserve">100</w:t>
            </w:r>
          </w:p>
        </w:tc>
        <w:tc>
          <w:p>
            <w:r>
              <w:t xml:space="preserve">55</w:t>
            </w:r>
          </w:p>
        </w:tc>
        <w:tc>
          <w:p>
            <w:r>
              <w:t xml:space="preserve">15702</w:t>
            </w:r>
          </w:p>
        </w:tc>
        <w:tc>
          <w:p>
            <w:r>
              <w:t xml:space="preserve">91.0</w:t>
            </w:r>
          </w:p>
        </w:tc>
      </w:tr>
      <w:tr>
        <w:trPr>
          <w:tblHeader/>
        </w:trPr>
        <w:tc>
          <w:p>
            <w:r>
              <w:t xml:space="preserve">Mono</w:t>
            </w:r>
          </w:p>
        </w:tc>
        <w:tc>
          <w:p>
            <w:r>
              <w:t xml:space="preserve">7,076</w:t>
            </w:r>
          </w:p>
        </w:tc>
        <w:tc>
          <w:p>
            <w:r>
              <w:t xml:space="preserve">100</w:t>
            </w:r>
          </w:p>
        </w:tc>
        <w:tc>
          <w:p>
            <w:r>
              <w:t xml:space="preserve">0</w:t>
            </w:r>
          </w:p>
        </w:tc>
        <w:tc>
          <w:p>
            <w:r>
              <w:t xml:space="preserve">134</w:t>
            </w:r>
          </w:p>
        </w:tc>
        <w:tc>
          <w:p>
            <w:r>
              <w:t xml:space="preserve">98.1</w:t>
            </w:r>
          </w:p>
        </w:tc>
      </w:tr>
      <w:tr>
        <w:trPr>
          <w:tblHeader/>
        </w:trPr>
        <w:tc>
          <w:p>
            <w:r>
              <w:t xml:space="preserve">Monterey</w:t>
            </w:r>
          </w:p>
        </w:tc>
        <w:tc>
          <w:p>
            <w:r>
              <w:t xml:space="preserve">133,512</w:t>
            </w:r>
          </w:p>
        </w:tc>
        <w:tc>
          <w:p>
            <w:r>
              <w:t xml:space="preserve">83</w:t>
            </w:r>
          </w:p>
        </w:tc>
        <w:tc>
          <w:p>
            <w:r>
              <w:t xml:space="preserve">16</w:t>
            </w:r>
          </w:p>
        </w:tc>
        <w:tc>
          <w:p>
            <w:r>
              <w:t xml:space="preserve">2705</w:t>
            </w:r>
          </w:p>
        </w:tc>
        <w:tc>
          <w:p>
            <w:r>
              <w:t xml:space="preserve">98.0</w:t>
            </w:r>
          </w:p>
        </w:tc>
      </w:tr>
      <w:tr>
        <w:trPr>
          <w:tblHeader/>
        </w:trPr>
        <w:tc>
          <w:p>
            <w:r>
              <w:t xml:space="preserve">Napa</w:t>
            </w:r>
          </w:p>
        </w:tc>
        <w:tc>
          <w:p>
            <w:r>
              <w:t xml:space="preserve">50,045</w:t>
            </w:r>
          </w:p>
        </w:tc>
        <w:tc>
          <w:p>
            <w:r>
              <w:t xml:space="preserve">8</w:t>
            </w:r>
          </w:p>
        </w:tc>
        <w:tc>
          <w:p>
            <w:r>
              <w:t xml:space="preserve">0</w:t>
            </w:r>
          </w:p>
        </w:tc>
        <w:tc>
          <w:p>
            <w:r>
              <w:t xml:space="preserve">615</w:t>
            </w:r>
          </w:p>
        </w:tc>
        <w:tc>
          <w:p>
            <w:r>
              <w:t xml:space="preserve">98.8</w:t>
            </w:r>
          </w:p>
        </w:tc>
      </w:tr>
      <w:tr>
        <w:trPr>
          <w:tblHeader/>
        </w:trPr>
        <w:tc>
          <w:p>
            <w:r>
              <w:t xml:space="preserve">Nevada</w:t>
            </w:r>
          </w:p>
        </w:tc>
        <w:tc>
          <w:p>
            <w:r>
              <w:t xml:space="preserve">188,880</w:t>
            </w:r>
          </w:p>
        </w:tc>
        <w:tc>
          <w:p>
            <w:r>
              <w:t xml:space="preserve">79</w:t>
            </w:r>
          </w:p>
        </w:tc>
        <w:tc>
          <w:p>
            <w:r>
              <w:t xml:space="preserve">0</w:t>
            </w:r>
          </w:p>
        </w:tc>
        <w:tc>
          <w:p>
            <w:r>
              <w:t xml:space="preserve">1109</w:t>
            </w:r>
          </w:p>
        </w:tc>
        <w:tc>
          <w:p>
            <w:r>
              <w:t xml:space="preserve">99.4</w:t>
            </w:r>
          </w:p>
        </w:tc>
      </w:tr>
      <w:tr>
        <w:trPr>
          <w:tblHeader/>
        </w:trPr>
        <w:tc>
          <w:p>
            <w:r>
              <w:t xml:space="preserve">Orange</w:t>
            </w:r>
          </w:p>
        </w:tc>
        <w:tc>
          <w:p>
            <w:r>
              <w:t xml:space="preserve">899</w:t>
            </w:r>
          </w:p>
        </w:tc>
        <w:tc>
          <w:p>
            <w:r>
              <w:t xml:space="preserve">0</w:t>
            </w:r>
          </w:p>
        </w:tc>
        <w:tc>
          <w:p>
            <w:r>
              <w:t xml:space="preserve">0</w:t>
            </w:r>
          </w:p>
        </w:tc>
        <w:tc>
          <w:p>
            <w:r>
              <w:t xml:space="preserve">1738</w:t>
            </w:r>
          </w:p>
        </w:tc>
        <w:tc>
          <w:p>
            <w:r>
              <w:t xml:space="preserve">-93.4</w:t>
            </w:r>
          </w:p>
        </w:tc>
      </w:tr>
      <w:tr>
        <w:trPr>
          <w:tblHeader/>
        </w:trPr>
        <w:tc>
          <w:p>
            <w:r>
              <w:t xml:space="preserve">Placer</w:t>
            </w:r>
          </w:p>
        </w:tc>
        <w:tc>
          <w:p>
            <w:r>
              <w:t xml:space="preserve">117,489</w:t>
            </w:r>
          </w:p>
        </w:tc>
        <w:tc>
          <w:p>
            <w:r>
              <w:t xml:space="preserve">76</w:t>
            </w:r>
          </w:p>
        </w:tc>
        <w:tc>
          <w:p>
            <w:r>
              <w:t xml:space="preserve">0</w:t>
            </w:r>
          </w:p>
        </w:tc>
        <w:tc>
          <w:p>
            <w:r>
              <w:t xml:space="preserve">1614</w:t>
            </w:r>
          </w:p>
        </w:tc>
        <w:tc>
          <w:p>
            <w:r>
              <w:t xml:space="preserve">98.6</w:t>
            </w:r>
          </w:p>
        </w:tc>
      </w:tr>
      <w:tr>
        <w:trPr>
          <w:tblHeader/>
        </w:trPr>
        <w:tc>
          <w:p>
            <w:r>
              <w:t xml:space="preserve">Plumas</w:t>
            </w:r>
          </w:p>
        </w:tc>
        <w:tc>
          <w:p>
            <w:r>
              <w:t xml:space="preserve">175,870</w:t>
            </w:r>
          </w:p>
        </w:tc>
        <w:tc>
          <w:p>
            <w:r>
              <w:t xml:space="preserve">100</w:t>
            </w:r>
          </w:p>
        </w:tc>
        <w:tc>
          <w:p>
            <w:r>
              <w:t xml:space="preserve">0</w:t>
            </w:r>
          </w:p>
        </w:tc>
        <w:tc>
          <w:p>
            <w:r>
              <w:t xml:space="preserve">8309</w:t>
            </w:r>
          </w:p>
        </w:tc>
        <w:tc>
          <w:p>
            <w:r>
              <w:t xml:space="preserve">95.3</w:t>
            </w:r>
          </w:p>
        </w:tc>
      </w:tr>
      <w:tr>
        <w:trPr>
          <w:tblHeader/>
        </w:trPr>
        <w:tc>
          <w:p>
            <w:r>
              <w:t xml:space="preserve">Riverside</w:t>
            </w:r>
          </w:p>
        </w:tc>
        <w:tc>
          <w:p>
            <w:r>
              <w:t xml:space="preserve">6,512</w:t>
            </w:r>
          </w:p>
        </w:tc>
        <w:tc>
          <w:p>
            <w:r>
              <w:t xml:space="preserve">56</w:t>
            </w:r>
          </w:p>
        </w:tc>
        <w:tc>
          <w:p>
            <w:r>
              <w:t xml:space="preserve">21</w:t>
            </w:r>
          </w:p>
        </w:tc>
        <w:tc>
          <w:p>
            <w:r>
              <w:t xml:space="preserve">414</w:t>
            </w:r>
          </w:p>
        </w:tc>
        <w:tc>
          <w:p>
            <w:r>
              <w:t xml:space="preserve">93.6</w:t>
            </w:r>
          </w:p>
        </w:tc>
      </w:tr>
      <w:tr>
        <w:trPr>
          <w:tblHeader/>
        </w:trPr>
        <w:tc>
          <w:p>
            <w:r>
              <w:t xml:space="preserve">Sacramento</w:t>
            </w:r>
          </w:p>
        </w:tc>
        <w:tc>
          <w:p>
            <w:r>
              <w:t xml:space="preserve">332</w:t>
            </w:r>
          </w:p>
        </w:tc>
        <w:tc>
          <w:p>
            <w:r>
              <w:t xml:space="preserve">9</w:t>
            </w:r>
          </w:p>
        </w:tc>
        <w:tc>
          <w:p>
            <w:r>
              <w:t xml:space="preserve">0</w:t>
            </w:r>
          </w:p>
        </w:tc>
        <w:tc>
          <w:p>
            <w:r>
              <w:t xml:space="preserve">390</w:t>
            </w:r>
          </w:p>
        </w:tc>
        <w:tc>
          <w:p>
            <w:r>
              <w:t xml:space="preserve">0.0</w:t>
            </w:r>
          </w:p>
        </w:tc>
      </w:tr>
      <w:tr>
        <w:trPr>
          <w:tblHeader/>
        </w:trPr>
        <w:tc>
          <w:p>
            <w:r>
              <w:t xml:space="preserve">San Benito</w:t>
            </w:r>
          </w:p>
        </w:tc>
        <w:tc>
          <w:p>
            <w:r>
              <w:t xml:space="preserve">66,498</w:t>
            </w:r>
          </w:p>
        </w:tc>
        <w:tc>
          <w:p>
            <w:r>
              <w:t xml:space="preserve">100</w:t>
            </w:r>
          </w:p>
        </w:tc>
        <w:tc>
          <w:p>
            <w:r>
              <w:t xml:space="preserve">0</w:t>
            </w:r>
          </w:p>
        </w:tc>
        <w:tc>
          <w:p>
            <w:r>
              <w:t xml:space="preserve">1066</w:t>
            </w:r>
          </w:p>
        </w:tc>
        <w:tc>
          <w:p>
            <w:r>
              <w:t xml:space="preserve">98.4</w:t>
            </w:r>
          </w:p>
        </w:tc>
      </w:tr>
      <w:tr>
        <w:trPr>
          <w:tblHeader/>
        </w:trPr>
        <w:tc>
          <w:p>
            <w:r>
              <w:t xml:space="preserve">San Bernardino</w:t>
            </w:r>
          </w:p>
        </w:tc>
        <w:tc>
          <w:p>
            <w:r>
              <w:t xml:space="preserve">14,323</w:t>
            </w:r>
          </w:p>
        </w:tc>
        <w:tc>
          <w:p>
            <w:r>
              <w:t xml:space="preserve">95</w:t>
            </w:r>
          </w:p>
        </w:tc>
        <w:tc>
          <w:p>
            <w:r>
              <w:t xml:space="preserve">12</w:t>
            </w:r>
          </w:p>
        </w:tc>
        <w:tc>
          <w:p>
            <w:r>
              <w:t xml:space="preserve">193</w:t>
            </w:r>
          </w:p>
        </w:tc>
        <w:tc>
          <w:p>
            <w:r>
              <w:t xml:space="preserve">98.7</w:t>
            </w:r>
          </w:p>
        </w:tc>
      </w:tr>
      <w:tr>
        <w:trPr>
          <w:tblHeader/>
        </w:trPr>
        <w:tc>
          <w:p>
            <w:r>
              <w:t xml:space="preserve">San Diego</w:t>
            </w:r>
          </w:p>
        </w:tc>
        <w:tc>
          <w:p>
            <w:r>
              <w:t xml:space="preserve">21,645</w:t>
            </w:r>
          </w:p>
        </w:tc>
        <w:tc>
          <w:p>
            <w:r>
              <w:t xml:space="preserve">88</w:t>
            </w:r>
          </w:p>
        </w:tc>
        <w:tc>
          <w:p>
            <w:r>
              <w:t xml:space="preserve">67</w:t>
            </w:r>
          </w:p>
        </w:tc>
        <w:tc>
          <w:p>
            <w:r>
              <w:t xml:space="preserve">1238</w:t>
            </w:r>
          </w:p>
        </w:tc>
        <w:tc>
          <w:p>
            <w:r>
              <w:t xml:space="preserve">94.3</w:t>
            </w:r>
          </w:p>
        </w:tc>
      </w:tr>
      <w:tr>
        <w:trPr>
          <w:tblHeader/>
        </w:trPr>
        <w:tc>
          <w:p>
            <w:r>
              <w:t xml:space="preserve">San Joaquin</w:t>
            </w:r>
          </w:p>
        </w:tc>
        <w:tc>
          <w:p>
            <w:r>
              <w:t xml:space="preserve">2,133</w:t>
            </w:r>
          </w:p>
        </w:tc>
        <w:tc>
          <w:p>
            <w:r>
              <w:t xml:space="preserve">0</w:t>
            </w:r>
          </w:p>
        </w:tc>
        <w:tc>
          <w:p>
            <w:r>
              <w:t xml:space="preserve">0</w:t>
            </w:r>
          </w:p>
        </w:tc>
        <w:tc>
          <w:p>
            <w:r>
              <w:t xml:space="preserve">0</w:t>
            </w:r>
          </w:p>
        </w:tc>
        <w:tc>
          <w:p>
            <w:r>
              <w:t xml:space="preserve">100.0</w:t>
            </w:r>
          </w:p>
        </w:tc>
      </w:tr>
      <w:tr>
        <w:trPr>
          <w:tblHeader/>
        </w:trPr>
        <w:tc>
          <w:p>
            <w:r>
              <w:t xml:space="preserve">San Luis Obispo</w:t>
            </w:r>
          </w:p>
        </w:tc>
        <w:tc>
          <w:p>
            <w:r>
              <w:t xml:space="preserve">167,135</w:t>
            </w:r>
          </w:p>
        </w:tc>
        <w:tc>
          <w:p>
            <w:r>
              <w:t xml:space="preserve">13</w:t>
            </w:r>
          </w:p>
        </w:tc>
        <w:tc>
          <w:p>
            <w:r>
              <w:t xml:space="preserve">0</w:t>
            </w:r>
          </w:p>
        </w:tc>
        <w:tc>
          <w:p>
            <w:r>
              <w:t xml:space="preserve">758</w:t>
            </w:r>
          </w:p>
        </w:tc>
        <w:tc>
          <w:p>
            <w:r>
              <w:t xml:space="preserve">99.5</w:t>
            </w:r>
          </w:p>
        </w:tc>
      </w:tr>
      <w:tr>
        <w:trPr>
          <w:tblHeader/>
        </w:trPr>
        <w:tc>
          <w:p>
            <w:r>
              <w:t xml:space="preserve">San Mateo</w:t>
            </w:r>
          </w:p>
        </w:tc>
        <w:tc>
          <w:p>
            <w:r>
              <w:t xml:space="preserve">43,832</w:t>
            </w:r>
          </w:p>
        </w:tc>
        <w:tc>
          <w:p>
            <w:r>
              <w:t xml:space="preserve">0</w:t>
            </w:r>
          </w:p>
        </w:tc>
        <w:tc>
          <w:p>
            <w:r>
              <w:t xml:space="preserve">0</w:t>
            </w:r>
          </w:p>
        </w:tc>
        <w:tc>
          <w:p>
            <w:r>
              <w:t xml:space="preserve">55</w:t>
            </w:r>
          </w:p>
        </w:tc>
        <w:tc>
          <w:p>
            <w:r>
              <w:t xml:space="preserve">99.9</w:t>
            </w:r>
          </w:p>
        </w:tc>
      </w:tr>
      <w:tr>
        <w:trPr>
          <w:tblHeader/>
        </w:trPr>
        <w:tc>
          <w:p>
            <w:r>
              <w:t xml:space="preserve">Santa Barbara</w:t>
            </w:r>
          </w:p>
        </w:tc>
        <w:tc>
          <w:p>
            <w:r>
              <w:t xml:space="preserve">87,194</w:t>
            </w:r>
          </w:p>
        </w:tc>
        <w:tc>
          <w:p>
            <w:r>
              <w:t xml:space="preserve">67</w:t>
            </w:r>
          </w:p>
        </w:tc>
        <w:tc>
          <w:p>
            <w:r>
              <w:t xml:space="preserve">1</w:t>
            </w:r>
          </w:p>
        </w:tc>
        <w:tc>
          <w:p>
            <w:r>
              <w:t xml:space="preserve">1770</w:t>
            </w:r>
          </w:p>
        </w:tc>
        <w:tc>
          <w:p>
            <w:r>
              <w:t xml:space="preserve">98.0</w:t>
            </w:r>
          </w:p>
        </w:tc>
      </w:tr>
      <w:tr>
        <w:trPr>
          <w:tblHeader/>
        </w:trPr>
        <w:tc>
          <w:p>
            <w:r>
              <w:t xml:space="preserve">Santa Clara</w:t>
            </w:r>
          </w:p>
        </w:tc>
        <w:tc>
          <w:p>
            <w:r>
              <w:t xml:space="preserve">99,380</w:t>
            </w:r>
          </w:p>
        </w:tc>
        <w:tc>
          <w:p>
            <w:r>
              <w:t xml:space="preserve">5</w:t>
            </w:r>
          </w:p>
        </w:tc>
        <w:tc>
          <w:p>
            <w:r>
              <w:t xml:space="preserve">0</w:t>
            </w:r>
          </w:p>
        </w:tc>
        <w:tc>
          <w:p>
            <w:r>
              <w:t xml:space="preserve">61</w:t>
            </w:r>
          </w:p>
        </w:tc>
        <w:tc>
          <w:p>
            <w:r>
              <w:t xml:space="preserve">99.9</w:t>
            </w:r>
          </w:p>
        </w:tc>
      </w:tr>
      <w:tr>
        <w:trPr>
          <w:tblHeader/>
        </w:trPr>
        <w:tc>
          <w:p>
            <w:r>
              <w:t xml:space="preserve">Santa Cruz</w:t>
            </w:r>
          </w:p>
        </w:tc>
        <w:tc>
          <w:p>
            <w:r>
              <w:t xml:space="preserve">86,831</w:t>
            </w:r>
          </w:p>
        </w:tc>
        <w:tc>
          <w:p>
            <w:r>
              <w:t xml:space="preserve">14</w:t>
            </w:r>
          </w:p>
        </w:tc>
        <w:tc>
          <w:p>
            <w:r>
              <w:t xml:space="preserve">0</w:t>
            </w:r>
          </w:p>
        </w:tc>
        <w:tc>
          <w:p>
            <w:r>
              <w:t xml:space="preserve">432</w:t>
            </w:r>
          </w:p>
        </w:tc>
        <w:tc>
          <w:p>
            <w:r>
              <w:t xml:space="preserve">99.5</w:t>
            </w:r>
          </w:p>
        </w:tc>
      </w:tr>
      <w:tr>
        <w:trPr>
          <w:tblHeader/>
        </w:trPr>
        <w:tc>
          <w:p>
            <w:r>
              <w:t xml:space="preserve">Shasta</w:t>
            </w:r>
          </w:p>
        </w:tc>
        <w:tc>
          <w:p>
            <w:r>
              <w:t xml:space="preserve">556,829</w:t>
            </w:r>
          </w:p>
        </w:tc>
        <w:tc>
          <w:p>
            <w:r>
              <w:t xml:space="preserve">100</w:t>
            </w:r>
          </w:p>
        </w:tc>
        <w:tc>
          <w:p>
            <w:r>
              <w:t xml:space="preserve">29</w:t>
            </w:r>
          </w:p>
        </w:tc>
        <w:tc>
          <w:p>
            <w:r>
              <w:t xml:space="preserve">7156</w:t>
            </w:r>
          </w:p>
        </w:tc>
        <w:tc>
          <w:p>
            <w:r>
              <w:t xml:space="preserve">98.7</w:t>
            </w:r>
          </w:p>
        </w:tc>
      </w:tr>
      <w:tr>
        <w:trPr>
          <w:tblHeader/>
        </w:trPr>
        <w:tc>
          <w:p>
            <w:r>
              <w:t xml:space="preserve">Sierra</w:t>
            </w:r>
          </w:p>
        </w:tc>
        <w:tc>
          <w:p>
            <w:r>
              <w:t xml:space="preserve">49,791</w:t>
            </w:r>
          </w:p>
        </w:tc>
        <w:tc>
          <w:p>
            <w:r>
              <w:t xml:space="preserve">100</w:t>
            </w:r>
          </w:p>
        </w:tc>
        <w:tc>
          <w:p>
            <w:r>
              <w:t xml:space="preserve">0</w:t>
            </w:r>
          </w:p>
        </w:tc>
        <w:tc>
          <w:p>
            <w:r>
              <w:t xml:space="preserve">289</w:t>
            </w:r>
          </w:p>
        </w:tc>
        <w:tc>
          <w:p>
            <w:r>
              <w:t xml:space="preserve">99.4</w:t>
            </w:r>
          </w:p>
        </w:tc>
      </w:tr>
      <w:tr>
        <w:trPr>
          <w:tblHeader/>
        </w:trPr>
        <w:tc>
          <w:p>
            <w:r>
              <w:t xml:space="preserve">Siskiyou</w:t>
            </w:r>
          </w:p>
        </w:tc>
        <w:tc>
          <w:p>
            <w:r>
              <w:t xml:space="preserve">523,573</w:t>
            </w:r>
          </w:p>
        </w:tc>
        <w:tc>
          <w:p>
            <w:r>
              <w:t xml:space="preserve">100</w:t>
            </w:r>
          </w:p>
        </w:tc>
        <w:tc>
          <w:p>
            <w:r>
              <w:t xml:space="preserve">22</w:t>
            </w:r>
          </w:p>
        </w:tc>
        <w:tc>
          <w:p>
            <w:r>
              <w:t xml:space="preserve">4727</w:t>
            </w:r>
          </w:p>
        </w:tc>
        <w:tc>
          <w:p>
            <w:r>
              <w:t xml:space="preserve">99.1</w:t>
            </w:r>
          </w:p>
        </w:tc>
      </w:tr>
      <w:tr>
        <w:trPr>
          <w:tblHeader/>
        </w:trPr>
        <w:tc>
          <w:p>
            <w:r>
              <w:t xml:space="preserve">Solano</w:t>
            </w:r>
          </w:p>
        </w:tc>
        <w:tc>
          <w:p>
            <w:r>
              <w:t xml:space="preserve">3,562</w:t>
            </w:r>
          </w:p>
        </w:tc>
        <w:tc>
          <w:p>
            <w:r>
              <w:t xml:space="preserve">13</w:t>
            </w:r>
          </w:p>
        </w:tc>
        <w:tc>
          <w:p>
            <w:r>
              <w:t xml:space="preserve">0</w:t>
            </w:r>
          </w:p>
        </w:tc>
        <w:tc>
          <w:p>
            <w:r>
              <w:t xml:space="preserve">69</w:t>
            </w:r>
          </w:p>
        </w:tc>
        <w:tc>
          <w:p>
            <w:r>
              <w:t xml:space="preserve">98.1</w:t>
            </w:r>
          </w:p>
        </w:tc>
      </w:tr>
      <w:tr>
        <w:trPr>
          <w:tblHeader/>
        </w:trPr>
        <w:tc>
          <w:p>
            <w:r>
              <w:t xml:space="preserve">Sonoma</w:t>
            </w:r>
          </w:p>
        </w:tc>
        <w:tc>
          <w:p>
            <w:r>
              <w:t xml:space="preserve">231,000</w:t>
            </w:r>
          </w:p>
        </w:tc>
        <w:tc>
          <w:p>
            <w:r>
              <w:t xml:space="preserve">71</w:t>
            </w:r>
          </w:p>
        </w:tc>
        <w:tc>
          <w:p>
            <w:r>
              <w:t xml:space="preserve">1</w:t>
            </w:r>
          </w:p>
        </w:tc>
        <w:tc>
          <w:p>
            <w:r>
              <w:t xml:space="preserve">648</w:t>
            </w:r>
          </w:p>
        </w:tc>
        <w:tc>
          <w:p>
            <w:r>
              <w:t xml:space="preserve">99.7</w:t>
            </w:r>
          </w:p>
        </w:tc>
      </w:tr>
      <w:tr>
        <w:trPr>
          <w:tblHeader/>
        </w:trPr>
        <w:tc>
          <w:p>
            <w:r>
              <w:t xml:space="preserve">Stanislaus</w:t>
            </w:r>
          </w:p>
        </w:tc>
        <w:tc>
          <w:p>
            <w:r>
              <w:t xml:space="preserve">14,168</w:t>
            </w:r>
          </w:p>
        </w:tc>
        <w:tc>
          <w:p>
            <w:r>
              <w:t xml:space="preserve">100</w:t>
            </w:r>
          </w:p>
        </w:tc>
        <w:tc>
          <w:p>
            <w:r>
              <w:t xml:space="preserve">72</w:t>
            </w:r>
          </w:p>
        </w:tc>
        <w:tc>
          <w:p>
            <w:r>
              <w:t xml:space="preserve">0</w:t>
            </w:r>
          </w:p>
        </w:tc>
        <w:tc>
          <w:p>
            <w:r>
              <w:t xml:space="preserve">100.0</w:t>
            </w:r>
          </w:p>
        </w:tc>
      </w:tr>
      <w:tr>
        <w:trPr>
          <w:tblHeader/>
        </w:trPr>
        <w:tc>
          <w:p>
            <w:r>
              <w:t xml:space="preserve">Sutter</w:t>
            </w:r>
          </w:p>
        </w:tc>
        <w:tc>
          <w:p>
            <w:r>
              <w:t xml:space="preserve">0</w:t>
            </w:r>
          </w:p>
        </w:tc>
        <w:tc>
          <w:p>
            <w:r>
              <w:t xml:space="preserve">0</w:t>
            </w:r>
          </w:p>
        </w:tc>
        <w:tc>
          <w:p>
            <w:r>
              <w:t xml:space="preserve">0</w:t>
            </w:r>
          </w:p>
        </w:tc>
        <w:tc>
          <w:p>
            <w:r>
              <w:t xml:space="preserve">0</w:t>
            </w:r>
          </w:p>
        </w:tc>
        <w:tc>
          <w:p>
            <w:r>
              <w:t xml:space="preserve">0.0</w:t>
            </w:r>
          </w:p>
        </w:tc>
      </w:tr>
      <w:tr>
        <w:trPr>
          <w:tblHeader/>
        </w:trPr>
        <w:tc>
          <w:p>
            <w:r>
              <w:t xml:space="preserve">Tehama</w:t>
            </w:r>
          </w:p>
        </w:tc>
        <w:tc>
          <w:p>
            <w:r>
              <w:t xml:space="preserve">165,836</w:t>
            </w:r>
          </w:p>
        </w:tc>
        <w:tc>
          <w:p>
            <w:r>
              <w:t xml:space="preserve">100</w:t>
            </w:r>
          </w:p>
        </w:tc>
        <w:tc>
          <w:p>
            <w:r>
              <w:t xml:space="preserve">100</w:t>
            </w:r>
          </w:p>
        </w:tc>
        <w:tc>
          <w:p>
            <w:r>
              <w:t xml:space="preserve">6371</w:t>
            </w:r>
          </w:p>
        </w:tc>
        <w:tc>
          <w:p>
            <w:r>
              <w:t xml:space="preserve">96.2</w:t>
            </w:r>
          </w:p>
        </w:tc>
      </w:tr>
      <w:tr>
        <w:trPr>
          <w:tblHeader/>
        </w:trPr>
        <w:tc>
          <w:p>
            <w:r>
              <w:t xml:space="preserve">Trinity</w:t>
            </w:r>
          </w:p>
        </w:tc>
        <w:tc>
          <w:p>
            <w:r>
              <w:t xml:space="preserve">247,192</w:t>
            </w:r>
          </w:p>
        </w:tc>
        <w:tc>
          <w:p>
            <w:r>
              <w:t xml:space="preserve">100</w:t>
            </w:r>
          </w:p>
        </w:tc>
        <w:tc>
          <w:p>
            <w:r>
              <w:t xml:space="preserve">30</w:t>
            </w:r>
          </w:p>
        </w:tc>
        <w:tc>
          <w:p>
            <w:r>
              <w:t xml:space="preserve">297</w:t>
            </w:r>
          </w:p>
        </w:tc>
        <w:tc>
          <w:p>
            <w:r>
              <w:t xml:space="preserve">99.9</w:t>
            </w:r>
          </w:p>
        </w:tc>
      </w:tr>
      <w:tr>
        <w:trPr>
          <w:tblHeader/>
        </w:trPr>
        <w:tc>
          <w:p>
            <w:r>
              <w:t xml:space="preserve">Tulare</w:t>
            </w:r>
          </w:p>
        </w:tc>
        <w:tc>
          <w:p>
            <w:r>
              <w:t xml:space="preserve">38,178</w:t>
            </w:r>
          </w:p>
        </w:tc>
        <w:tc>
          <w:p>
            <w:r>
              <w:t xml:space="preserve">36</w:t>
            </w:r>
          </w:p>
        </w:tc>
        <w:tc>
          <w:p>
            <w:r>
              <w:t xml:space="preserve">36</w:t>
            </w:r>
          </w:p>
        </w:tc>
        <w:tc>
          <w:p>
            <w:r>
              <w:t xml:space="preserve">1179</w:t>
            </w:r>
          </w:p>
        </w:tc>
        <w:tc>
          <w:p>
            <w:r>
              <w:t xml:space="preserve">96.9</w:t>
            </w:r>
          </w:p>
        </w:tc>
      </w:tr>
      <w:tr>
        <w:trPr>
          <w:tblHeader/>
        </w:trPr>
        <w:tc>
          <w:p>
            <w:r>
              <w:t xml:space="preserve">Tuolumne</w:t>
            </w:r>
          </w:p>
        </w:tc>
        <w:tc>
          <w:p>
            <w:r>
              <w:t xml:space="preserve">100,628</w:t>
            </w:r>
          </w:p>
        </w:tc>
        <w:tc>
          <w:p>
            <w:r>
              <w:t xml:space="preserve">84</w:t>
            </w:r>
          </w:p>
        </w:tc>
        <w:tc>
          <w:p>
            <w:r>
              <w:t xml:space="preserve">1</w:t>
            </w:r>
          </w:p>
        </w:tc>
        <w:tc>
          <w:p>
            <w:r>
              <w:t xml:space="preserve">229</w:t>
            </w:r>
          </w:p>
        </w:tc>
        <w:tc>
          <w:p>
            <w:r>
              <w:t xml:space="preserve">99.8</w:t>
            </w:r>
          </w:p>
        </w:tc>
      </w:tr>
      <w:tr>
        <w:trPr>
          <w:tblHeader/>
        </w:trPr>
        <w:tc>
          <w:p>
            <w:r>
              <w:t xml:space="preserve">Ventura</w:t>
            </w:r>
          </w:p>
        </w:tc>
        <w:tc>
          <w:p>
            <w:r>
              <w:t xml:space="preserve">17,972</w:t>
            </w:r>
          </w:p>
        </w:tc>
        <w:tc>
          <w:p>
            <w:r>
              <w:t xml:space="preserve">52</w:t>
            </w:r>
          </w:p>
        </w:tc>
        <w:tc>
          <w:p>
            <w:r>
              <w:t xml:space="preserve">2</w:t>
            </w:r>
          </w:p>
        </w:tc>
        <w:tc>
          <w:p>
            <w:r>
              <w:t xml:space="preserve">568</w:t>
            </w:r>
          </w:p>
        </w:tc>
        <w:tc>
          <w:p>
            <w:r>
              <w:t xml:space="preserve">96.8</w:t>
            </w:r>
          </w:p>
        </w:tc>
      </w:tr>
      <w:tr>
        <w:trPr>
          <w:tblHeader/>
        </w:trPr>
        <w:tc>
          <w:p>
            <w:r>
              <w:t xml:space="preserve">Yolo</w:t>
            </w:r>
          </w:p>
        </w:tc>
        <w:tc>
          <w:p>
            <w:r>
              <w:t xml:space="preserve">2,144</w:t>
            </w:r>
          </w:p>
        </w:tc>
        <w:tc>
          <w:p>
            <w:r>
              <w:t xml:space="preserve">55</w:t>
            </w:r>
          </w:p>
        </w:tc>
        <w:tc>
          <w:p>
            <w:r>
              <w:t xml:space="preserve">55</w:t>
            </w:r>
          </w:p>
        </w:tc>
        <w:tc>
          <w:p>
            <w:r>
              <w:t xml:space="preserve">0</w:t>
            </w:r>
          </w:p>
        </w:tc>
        <w:tc>
          <w:p>
            <w:r>
              <w:t xml:space="preserve">100.0</w:t>
            </w:r>
          </w:p>
        </w:tc>
      </w:tr>
      <w:tr>
        <w:trPr>
          <w:tblHeader/>
        </w:trPr>
        <w:tc>
          <w:p>
            <w:r>
              <w:t xml:space="preserve">Yuba</w:t>
            </w:r>
          </w:p>
        </w:tc>
        <w:tc>
          <w:p>
            <w:r>
              <w:t xml:space="preserve">71,432</w:t>
            </w:r>
          </w:p>
        </w:tc>
        <w:tc>
          <w:p>
            <w:r>
              <w:t xml:space="preserve">78</w:t>
            </w:r>
          </w:p>
        </w:tc>
        <w:tc>
          <w:p>
            <w:r>
              <w:t xml:space="preserve">0</w:t>
            </w:r>
          </w:p>
        </w:tc>
        <w:tc>
          <w:p>
            <w:r>
              <w:t xml:space="preserve">4174</w:t>
            </w:r>
          </w:p>
        </w:tc>
        <w:tc>
          <w:p>
            <w:r>
              <w:t xml:space="preserve">94.2</w:t>
            </w:r>
          </w:p>
        </w:tc>
      </w:tr>
    </w:tbl>
    <w:p>
      <w:r>
        <w:t xml:space="preserve"/>
      </w:r>
    </w:p>
    <w:p>
      <w:pPr>
        <w:pStyle w:val="Heading2"/>
      </w:pPr>
      <w:r>
        <w:t xml:space="preserve">References</w:t>
      </w:r>
    </w:p>
    <w:p>
      <w:r>
        <w:t xml:space="preserve">CFF. (2024). </w:t>
      </w:r>
      <w:r>
        <w:rPr>
          <w:i/>
          <w:iCs/>
        </w:rPr>
        <w:t xml:space="preserve">California Forests</w:t>
      </w:r>
      <w:r>
        <w:t xml:space="preserve">. California Forest Foundation. </w:t>
      </w:r>
      <w:hyperlink w:history="1" r:id="rIdzd7xz4xlrhiyojxq5xprl">
        <w:r>
          <w:rPr>
            <w:rStyle w:val="Hyperlink"/>
          </w:rPr>
          <w:t xml:space="preserve">https://www.calforestfoundation.org/resource/california-forests/</w:t>
        </w:r>
      </w:hyperlink>
      <w:r>
        <w:t xml:space="preserve">Chen, C., Schwarz, L., Rosenthal, N., Marlier, M., &amp; Benmarhnia, T. (2024). Exploring Spatial Heterogeneity in Synergistic Effects of Compound Climate Hazards: Extreme Heat and Wildfire Smoke on Cardiorespiratory Hospitalizations in California. </w:t>
      </w:r>
      <w:r>
        <w:rPr>
          <w:i/>
          <w:iCs/>
        </w:rPr>
        <w:t xml:space="preserve">Science Advances</w:t>
      </w:r>
      <w:r>
        <w:t xml:space="preserve">, </w:t>
      </w:r>
      <w:r>
        <w:rPr>
          <w:i/>
          <w:iCs/>
        </w:rPr>
        <w:t xml:space="preserve">10</w:t>
      </w:r>
      <w:r>
        <w:t xml:space="preserve">(5). </w:t>
      </w:r>
      <w:hyperlink w:history="1" r:id="rIdnz5mzcnqzzjgpphnfucgd">
        <w:r>
          <w:rPr>
            <w:rStyle w:val="Hyperlink"/>
          </w:rPr>
          <w:t xml:space="preserve">10.1126/sciadv.adj7264</w:t>
        </w:r>
      </w:hyperlink>
      <w:r>
        <w:t xml:space="preserve">Environmental, A. (2024). </w:t>
      </w:r>
      <w:r>
        <w:rPr>
          <w:i/>
          <w:iCs/>
        </w:rPr>
        <w:t xml:space="preserve">CalVTP Homepage and Storymap</w:t>
      </w:r>
      <w:r>
        <w:t xml:space="preserve">. Board of Forestry. </w:t>
      </w:r>
      <w:hyperlink w:history="1" r:id="rIdz3zo6ualop9zqzo1b75pu">
        <w:r>
          <w:rPr>
            <w:rStyle w:val="Hyperlink"/>
          </w:rPr>
          <w:t xml:space="preserve">https://bof.fire.ca.gov/projects-and-programs/calvtp-homepage-and-storymap/</w:t>
        </w:r>
      </w:hyperlink>
      <w:r>
        <w:t xml:space="preserve">FIRE, C. (2024). </w:t>
      </w:r>
      <w:r>
        <w:rPr>
          <w:i/>
          <w:iCs/>
        </w:rPr>
        <w:t xml:space="preserve">Statistics</w:t>
      </w:r>
      <w:r>
        <w:t xml:space="preserve">. CAL FIRE. </w:t>
      </w:r>
      <w:hyperlink w:history="1" r:id="rIdzkajvoiwqyuaxolpdgp2n">
        <w:r>
          <w:rPr>
            <w:rStyle w:val="Hyperlink"/>
          </w:rPr>
          <w:t xml:space="preserve">https://www.fire.ca.gov/our-impact/statistics</w:t>
        </w:r>
      </w:hyperlink>
      <w:r>
        <w:t xml:space="preserve">Hatfield, M. (2001). </w:t>
      </w:r>
      <w:r>
        <w:rPr>
          <w:i/>
          <w:iCs/>
        </w:rPr>
        <w:t xml:space="preserve">Wildfire and Poverty: An overview of the interactions among wildfires, fire-related programs, and poverty in the Western United States</w:t>
      </w:r>
      <w:r>
        <w:t xml:space="preserve">. Scholars’ Bank. </w:t>
      </w:r>
      <w:hyperlink w:history="1" r:id="rIddyir5rrpww_7fech7s-7g">
        <w:r>
          <w:rPr>
            <w:rStyle w:val="Hyperlink"/>
          </w:rPr>
          <w:t xml:space="preserve">https://scholarsbank.uoregon.edu/xmlui/bitstream/handle/1794/2334/wild_pov.pdf</w:t>
        </w:r>
      </w:hyperlink>
      <w:r>
        <w:t xml:space="preserve">Hino, M., &amp; Field, C. B. (2023). Fire Frequency and Vulnerability in California. </w:t>
      </w:r>
      <w:r>
        <w:rPr>
          <w:i/>
          <w:iCs/>
        </w:rPr>
        <w:t xml:space="preserve">PLOS Climate</w:t>
      </w:r>
      <w:r>
        <w:t xml:space="preserve">. </w:t>
      </w:r>
      <w:hyperlink w:history="1" r:id="rIdvqg5h9oghtafj_rwdk57i">
        <w:r>
          <w:rPr>
            <w:rStyle w:val="Hyperlink"/>
          </w:rPr>
          <w:t xml:space="preserve">10.1371/journal.pclm.0000087</w:t>
        </w:r>
      </w:hyperlink>
      <w:r>
        <w:t xml:space="preserve">OEHHA. (2024). </w:t>
      </w:r>
      <w:r>
        <w:rPr>
          <w:i/>
          <w:iCs/>
        </w:rPr>
        <w:t xml:space="preserve">Wildfires - OEHHA</w:t>
      </w:r>
      <w:r>
        <w:t xml:space="preserve">. </w:t>
      </w:r>
      <w:hyperlink w:history="1" r:id="rId3a5fvysjwzj2wd3fuk1ui">
        <w:r>
          <w:rPr>
            <w:rStyle w:val="Hyperlink"/>
          </w:rPr>
          <w:t xml:space="preserve">https://oehha.ca.gov/climate-change/epic-2022/impacts-vegetation-and-wildlife/wildfires</w:t>
        </w:r>
      </w:hyperlink>
      <w:r>
        <w:t xml:space="preserve">Pohl, J. (2024). Wildfire Smoke Disproportionately Affects California’s Indigenous Communities, New Research Shows. </w:t>
      </w:r>
      <w:r>
        <w:rPr>
          <w:i/>
          <w:iCs/>
        </w:rPr>
        <w:t xml:space="preserve">Berkeley News</w:t>
      </w:r>
      <w:r>
        <w:t xml:space="preserve">. </w:t>
      </w:r>
      <w:hyperlink w:history="1" r:id="rId1fhnqhwexomwy1k9jkfed">
        <w:r>
          <w:rPr>
            <w:rStyle w:val="Hyperlink"/>
          </w:rPr>
          <w:t xml:space="preserve">https://news.berkeley.edu/2024/02/29/wildfire-smoke-disproportionately-affects-california-s-indigenous-communities-new-research-shows/</w:t>
        </w:r>
      </w:hyperlink>
      <w:r>
        <w:t xml:space="preserve">PPIC. (2024). </w:t>
      </w:r>
      <w:r>
        <w:rPr>
          <w:i/>
          <w:iCs/>
        </w:rPr>
        <w:t xml:space="preserve">Poverty</w:t>
      </w:r>
      <w:r>
        <w:t xml:space="preserve">. OEHHA. </w:t>
      </w:r>
      <w:hyperlink w:history="1" r:id="rIdw7ci4zqeeg2spo7d5nsj3">
        <w:r>
          <w:rPr>
            <w:rStyle w:val="Hyperlink"/>
          </w:rPr>
          <w:t xml:space="preserve">https://oehha.ca.gov/calenviroscreen/indicator/poverty</w:t>
        </w:r>
      </w:hyperlink>
      <w:r>
        <w:t xml:space="preserve">Secaira, M. (2023). Frequent Wildfires More Likely to Hit Low-Income Communities, New Report Finds. </w:t>
      </w:r>
      <w:r>
        <w:rPr>
          <w:i/>
          <w:iCs/>
        </w:rPr>
        <w:t xml:space="preserve">Capital Public Radio</w:t>
      </w:r>
      <w:r>
        <w:t xml:space="preserve">. </w:t>
      </w:r>
      <w:hyperlink w:history="1" r:id="rIdv-fanolrcguxypeqxvan9">
        <w:r>
          <w:rPr>
            <w:rStyle w:val="Hyperlink"/>
          </w:rPr>
          <w:t xml:space="preserve">https://www.capradio.org/articles/2023/02/15/frequent-wildfires-more-likely-to-hit-low-income-communities-new-report-finds/</w:t>
        </w:r>
      </w:hyperlink>
      <w:r>
        <w:t xml:space="preserve">Shahir Masri, Erica Scaduto, Yufang Jin, &amp; Wu, J. (2021). Disproportionate Impacts of Wildfires among Elderly and Low-Income Communities in California from 2000 to 2020. </w:t>
      </w:r>
      <w:r>
        <w:rPr>
          <w:i/>
          <w:iCs/>
        </w:rPr>
        <w:t xml:space="preserve">NCBI</w:t>
      </w:r>
      <w:r>
        <w:t xml:space="preserve">. </w:t>
      </w:r>
      <w:hyperlink w:history="1" r:id="rIdb7bzh260bfvusjhyhocza">
        <w:r>
          <w:rPr>
            <w:rStyle w:val="Hyperlink"/>
          </w:rPr>
          <w:t xml:space="preserve">https://www.ncbi.nlm.nih.gov/pmc/articles/PMC8068328/</w:t>
        </w:r>
      </w:hyperlink>
      <w:r>
        <w:t xml:space="preserve">USDA. (2023). </w:t>
      </w:r>
      <w:r>
        <w:rPr>
          <w:i/>
          <w:iCs/>
        </w:rPr>
        <w:t xml:space="preserve">Poverty Area Measures</w:t>
      </w:r>
      <w:r>
        <w:t xml:space="preserve">. USDA ERS. </w:t>
      </w:r>
      <w:hyperlink w:history="1" r:id="rIdm1ocgubiuhsdonhsqq-0k">
        <w:r>
          <w:rPr>
            <w:rStyle w:val="Hyperlink"/>
          </w:rPr>
          <w:t xml:space="preserve">https://www.ers.usda.gov/data-products/poverty-area-measures/</w:t>
        </w:r>
      </w:hyperlink>
      <w:r>
        <w:t xml:space="preserve">USDA. (2024). </w:t>
      </w:r>
      <w:r>
        <w:rPr>
          <w:i/>
          <w:iCs/>
        </w:rPr>
        <w:t xml:space="preserve">Focus on Forestlands in California</w:t>
      </w:r>
      <w:r>
        <w:t xml:space="preserve">. USDA Climate Hubs. </w:t>
      </w:r>
      <w:hyperlink w:history="1" r:id="rIdseabsgha2eqpmwrx7chb7">
        <w:r>
          <w:rPr>
            <w:rStyle w:val="Hyperlink"/>
          </w:rPr>
          <w:t xml:space="preserve">https://www.climatehubs.usda.gov/hubs/california/topic/focus-forestlands-california</w:t>
        </w:r>
      </w:hyperlink>
      <w:r>
        <w:t xml:space="preserve">USGS. (2018). </w:t>
      </w:r>
      <w:r>
        <w:rPr>
          <w:i/>
          <w:iCs/>
        </w:rPr>
        <w:t xml:space="preserve">National Land Cover Database</w:t>
      </w:r>
      <w:r>
        <w:t xml:space="preserve">. USGS. </w:t>
      </w:r>
      <w:hyperlink w:history="1" r:id="rIdr5ybskcqnhtdlh9hw0rqr">
        <w:r>
          <w:rPr>
            <w:rStyle w:val="Hyperlink"/>
          </w:rPr>
          <w:t xml:space="preserve">https://www.usgs.gov/centers/eros/science/national-land-cover-database</w:t>
        </w:r>
      </w:hyperlink>
      <w:r>
        <w:t xml:space="preserve">WFRTF. (2021). </w:t>
      </w:r>
      <w:r>
        <w:rPr>
          <w:i/>
          <w:iCs/>
        </w:rPr>
        <w:t xml:space="preserve">California’s Wildfire and Forest Resilience Action Plan: Recommendations of the Governor’s Forest Management Task Force</w:t>
      </w:r>
      <w:r>
        <w:t xml:space="preserve">. California Wildfire. </w:t>
      </w:r>
      <w:hyperlink w:history="1" r:id="rIdbvpkp7xhlpmwhqeq7umdg">
        <w:r>
          <w:rPr>
            <w:rStyle w:val="Hyperlink"/>
          </w:rPr>
          <w:t xml:space="preserve">https://wildfiretaskforce.org/wp-content/uploads/2022/04/californiawildfireandforestresilienceactionplan.pdf</w:t>
        </w:r>
      </w:hyperlink>
      <w:r>
        <w:t xml:space="preserve">WFRTF. (2024). </w:t>
      </w:r>
      <w:r>
        <w:rPr>
          <w:i/>
          <w:iCs/>
        </w:rPr>
        <w:t xml:space="preserve">New Online Treatment Dashboard to Track Wildfire Resilience Projects</w:t>
      </w:r>
      <w:r>
        <w:t xml:space="preserve">. California Wildfire &amp; Forest Resilience Task Force. </w:t>
      </w:r>
      <w:hyperlink w:history="1" r:id="rIdr01-fosins6b4wejigaye">
        <w:r>
          <w:rPr>
            <w:rStyle w:val="Hyperlink"/>
          </w:rPr>
          <w:t xml:space="preserve">https://wildfiretaskforce.org/california-launches-online-treatment-dashboard-to-track-wildfire-resilience-projects/</w:t>
        </w:r>
      </w:hyperlink>
    </w:p>
    <w:sectPr>
      <w:footerReference w:type="default" r:id="rId6"/>
      <w:type w:val="continuous"/>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t xml:space="preserve">Created with </w:t>
    </w:r>
    <w:r>
      <w:drawing>
        <wp:inline distT="0" distB="0" distL="0" distR="0">
          <wp:extent cx="608542" cy="105833"/>
          <wp:effectExtent b="0" l="0" r="0" t="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08542" cy="105833"/>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t xml:space="preserve">Fire hazard is fire damage (property damage) whereas fire experience is frequency of fires. Median income in communities that have had 6 or more fires since 1990 is $66,128 whereas those with 1-2 fires have a median income of $100,063 (Hino and Field).</w:t>
      </w:r>
    </w:p>
  </w:footnote>
  <w:footnote w:id="2">
    <w:p>
      <w:r>
        <w:rPr>
          <w:rStyle w:val="FootnoteReference"/>
        </w:rPr>
        <w:footnoteRef/>
      </w:r>
      <w:r>
        <w:t xml:space="preserve">Utilized data from the Wildfire and Forest Resilience Task Force’s Beta Treatment Tracker </w:t>
      </w:r>
      <w:hyperlink w:history="1" r:id="rIdurkcc_ntziicnce9a6pjo">
        <w:r>
          <w:rPr>
            <w:rStyle w:val="Hyperlink"/>
          </w:rPr>
          <w:t xml:space="preserve">Dashboard</w:t>
        </w:r>
      </w:hyperlink>
      <w:r>
        <w:t xml:space="preserve"> to determine acres in treatment and percent of those acres that are privately owned </w:t>
      </w:r>
      <w:r>
        <w:t xml:space="preserve">WFRTF (2024)</w:t>
      </w:r>
      <w:r>
        <w:t xml:space="preserve">.</w:t>
      </w:r>
    </w:p>
  </w:footnote>
  <w:footnote w:id="3">
    <w:p>
      <w:r>
        <w:rPr>
          <w:rStyle w:val="FootnoteReference"/>
        </w:rPr>
        <w:footnoteRef/>
      </w:r>
      <w:r>
        <w:t xml:space="preserve">Ibid.</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6"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7"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8"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num w:numId="1">
    <w:abstractNumId w:val="5"/>
    <w:lvlOverride w:ilvl="0">
      <w:startOverride w:val="1"/>
    </w:lvlOverride>
  </w:num>
  <w:num w:numId="9">
    <w:abstractNumId w:val="6"/>
    <w:lvlOverride w:ilvl="0">
      <w:startOverride w:val="1"/>
    </w:lvlOverride>
  </w:num>
  <w:num w:numId="10">
    <w:abstractNumId w:val="7"/>
    <w:lvlOverride w:ilvl="0">
      <w:startOverride w:val="1"/>
    </w:lvlOverride>
  </w:num>
  <w:num w:numId="11">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A94"/>
    <w:pPr>
      <w:spacing w:before="240" w:after="240"/>
      <w:jc w:val="both"/>
    </w:pPr>
  </w:style>
  <w:style w:type="paragraph" w:styleId="Heading1">
    <w:name w:val="heading 1"/>
    <w:uiPriority w:val="9"/>
    <w:qFormat/>
    <w:rsid w:val="0080420D"/>
    <w:pPr>
      <w:spacing w:line="360" w:lineRule="auto"/>
      <w:outlineLvl w:val="0"/>
    </w:pPr>
    <w:rPr>
      <w:rFonts w:asciiTheme="minorHAnsi" w:hAnsiTheme="minorHAnsi"/>
      <w:color w:val="000000" w:themeColor="text1"/>
      <w:sz w:val="32"/>
      <w:szCs w:val="32"/>
    </w:rPr>
  </w:style>
  <w:style w:type="paragraph" w:styleId="Heading2">
    <w:name w:val="heading 2"/>
    <w:uiPriority w:val="9"/>
    <w:unhideWhenUsed/>
    <w:qFormat/>
    <w:rsid w:val="00427A94"/>
    <w:pPr>
      <w:outlineLvl w:val="1"/>
    </w:pPr>
    <w:rPr>
      <w:rFonts w:asciiTheme="minorHAnsi" w:hAnsiTheme="minorHAnsi"/>
      <w:color w:val="2E74B5"/>
      <w:sz w:val="26"/>
      <w:szCs w:val="26"/>
    </w:rPr>
  </w:style>
  <w:style w:type="paragraph" w:styleId="Heading3">
    <w:name w:val="heading 3"/>
    <w:uiPriority w:val="9"/>
    <w:unhideWhenUsed/>
    <w:qFormat/>
    <w:rsid w:val="00427A94"/>
    <w:pPr>
      <w:outlineLvl w:val="2"/>
    </w:pPr>
    <w:rPr>
      <w:rFonts w:asciiTheme="minorHAnsi" w:hAnsiTheme="minorHAnsi"/>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91B02"/>
    <w:pPr>
      <w:tabs>
        <w:tab w:val="center" w:pos="4680"/>
        <w:tab w:val="right" w:pos="9360"/>
      </w:tabs>
    </w:pPr>
  </w:style>
  <w:style w:type="character" w:customStyle="1" w:styleId="HeaderChar">
    <w:name w:val="Header Char"/>
    <w:basedOn w:val="DefaultParagraphFont"/>
    <w:link w:val="Header"/>
    <w:uiPriority w:val="99"/>
    <w:rsid w:val="00191B02"/>
  </w:style>
  <w:style w:type="paragraph" w:styleId="Footer">
    <w:name w:val="footer"/>
    <w:basedOn w:val="Normal"/>
    <w:link w:val="FooterChar"/>
    <w:uiPriority w:val="99"/>
    <w:unhideWhenUsed/>
    <w:rsid w:val="00191B02"/>
    <w:pPr>
      <w:tabs>
        <w:tab w:val="center" w:pos="4680"/>
        <w:tab w:val="right" w:pos="9360"/>
      </w:tabs>
    </w:pPr>
  </w:style>
  <w:style w:type="character" w:customStyle="1" w:styleId="FooterChar">
    <w:name w:val="Footer Char"/>
    <w:basedOn w:val="DefaultParagraphFont"/>
    <w:link w:val="Footer"/>
    <w:uiPriority w:val="99"/>
    <w:rsid w:val="00191B02"/>
  </w:style>
  <w:style w:type="paragraph" w:styleId="Subtitle">
    <w:name w:val="Subtitle"/>
    <w:basedOn w:val="Normal"/>
    <w:next w:val="Normal"/>
    <w:link w:val="SubtitleChar"/>
    <w:uiPriority w:val="11"/>
    <w:qFormat/>
    <w:rsid w:val="0080420D"/>
    <w:pPr>
      <w:numPr>
        <w:ilvl w:val="1"/>
      </w:numPr>
      <w:spacing w:before="0" w:after="0" w:line="480" w:lineRule="auto"/>
      <w:jc w:val="left"/>
    </w:pPr>
    <w:rPr>
      <w:rFonts w:asciiTheme="minorHAnsi" w:eastAsiaTheme="minorEastAsia" w:hAnsiTheme="minorHAnsi" w:cstheme="minorBidi"/>
      <w:color w:val="767171" w:themeColor="background2" w:themeShade="80"/>
      <w:spacing w:val="15"/>
      <w:szCs w:val="22"/>
    </w:rPr>
  </w:style>
  <w:style w:type="character" w:customStyle="1" w:styleId="SubtitleChar">
    <w:name w:val="Subtitle Char"/>
    <w:basedOn w:val="DefaultParagraphFont"/>
    <w:link w:val="Subtitle"/>
    <w:uiPriority w:val="11"/>
    <w:rsid w:val="0080420D"/>
    <w:rPr>
      <w:rFonts w:asciiTheme="minorHAnsi" w:eastAsiaTheme="minorEastAsia" w:hAnsiTheme="minorHAnsi" w:cstheme="minorBidi"/>
      <w:color w:val="767171" w:themeColor="background2" w:themeShade="80"/>
      <w:spacing w:val="15"/>
      <w:szCs w:val="22"/>
    </w:rPr>
  </w:style>
  <w:style w:type="paragraph" w:styleId="IntenseQuote">
    <w:name w:val="Intense Quote"/>
    <w:basedOn w:val="Normal"/>
    <w:next w:val="Normal"/>
    <w:link w:val="IntenseQuoteChar"/>
    <w:uiPriority w:val="30"/>
    <w:qFormat/>
    <w:rsid w:val="00C84812"/>
    <w:pPr>
      <w:pBdr>
        <w:top w:val="single" w:sz="4" w:space="10" w:color="4472C4" w:themeColor="accent1"/>
        <w:bottom w:val="single" w:sz="4" w:space="10" w:color="4472C4" w:themeColor="accent1"/>
      </w:pBdr>
      <w:spacing w:before="360" w:after="360" w:line="360" w:lineRule="auto"/>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84812"/>
    <w:rPr>
      <w:i/>
      <w:iCs/>
      <w:color w:val="4472C4" w:themeColor="accent1"/>
    </w:rPr>
  </w:style>
  <w:style w:type="paragraph" w:styleId="Caption">
    <w:name w:val="caption"/>
    <w:basedOn w:val="Normal"/>
    <w:next w:val="Normal"/>
    <w:uiPriority w:val="35"/>
    <w:unhideWhenUsed/>
    <w:qFormat/>
    <w:rsid w:val="009B63A7"/>
    <w:pPr>
      <w:spacing w:before="0" w:after="200"/>
      <w:ind w:left="567" w:right="521"/>
      <w:jc w:val="left"/>
    </w:pPr>
    <w:rPr>
      <w:color w:val="44546A" w:themeColor="text2"/>
      <w:sz w:val="18"/>
      <w:szCs w:val="1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zd7xz4xlrhiyojxq5xprl" Type="http://schemas.openxmlformats.org/officeDocument/2006/relationships/hyperlink" Target="https://www.calforestfoundation.org/resource/california-forests/" TargetMode="External"/><Relationship Id="rIdnz5mzcnqzzjgpphnfucgd" Type="http://schemas.openxmlformats.org/officeDocument/2006/relationships/hyperlink" Target="https://doi.org/10.1126/sciadv.adj7264" TargetMode="External"/><Relationship Id="rIdz3zo6ualop9zqzo1b75pu" Type="http://schemas.openxmlformats.org/officeDocument/2006/relationships/hyperlink" Target="https://bof.fire.ca.gov/projects-and-programs/calvtp-homepage-and-storymap/" TargetMode="External"/><Relationship Id="rIdzkajvoiwqyuaxolpdgp2n" Type="http://schemas.openxmlformats.org/officeDocument/2006/relationships/hyperlink" Target="https://www.fire.ca.gov/our-impact/statistics" TargetMode="External"/><Relationship Id="rIddyir5rrpww_7fech7s-7g" Type="http://schemas.openxmlformats.org/officeDocument/2006/relationships/hyperlink" Target="https://scholarsbank.uoregon.edu/xmlui/bitstream/handle/1794/2334/wild_pov.pdf" TargetMode="External"/><Relationship Id="rIdvqg5h9oghtafj_rwdk57i" Type="http://schemas.openxmlformats.org/officeDocument/2006/relationships/hyperlink" Target="https://doi.org/10.1371/journal.pclm.0000087" TargetMode="External"/><Relationship Id="rId3a5fvysjwzj2wd3fuk1ui" Type="http://schemas.openxmlformats.org/officeDocument/2006/relationships/hyperlink" Target="https://oehha.ca.gov/climate-change/epic-2022/impacts-vegetation-and-wildlife/wildfires" TargetMode="External"/><Relationship Id="rId1fhnqhwexomwy1k9jkfed" Type="http://schemas.openxmlformats.org/officeDocument/2006/relationships/hyperlink" Target="https://news.berkeley.edu/2024/02/29/wildfire-smoke-disproportionately-affects-california-s-indigenous-communities-new-research-shows/" TargetMode="External"/><Relationship Id="rIdw7ci4zqeeg2spo7d5nsj3" Type="http://schemas.openxmlformats.org/officeDocument/2006/relationships/hyperlink" Target="https://oehha.ca.gov/calenviroscreen/indicator/poverty" TargetMode="External"/><Relationship Id="rIdv-fanolrcguxypeqxvan9" Type="http://schemas.openxmlformats.org/officeDocument/2006/relationships/hyperlink" Target="https://www.capradio.org/articles/2023/02/15/frequent-wildfires-more-likely-to-hit-low-income-communities-new-report-finds/" TargetMode="External"/><Relationship Id="rIdb7bzh260bfvusjhyhocza" Type="http://schemas.openxmlformats.org/officeDocument/2006/relationships/hyperlink" Target="https://www.ncbi.nlm.nih.gov/pmc/articles/PMC8068328/" TargetMode="External"/><Relationship Id="rIdm1ocgubiuhsdonhsqq-0k" Type="http://schemas.openxmlformats.org/officeDocument/2006/relationships/hyperlink" Target="https://www.ers.usda.gov/data-products/poverty-area-measures/" TargetMode="External"/><Relationship Id="rIdseabsgha2eqpmwrx7chb7" Type="http://schemas.openxmlformats.org/officeDocument/2006/relationships/hyperlink" Target="https://www.climatehubs.usda.gov/hubs/california/topic/focus-forestlands-california" TargetMode="External"/><Relationship Id="rIdr5ybskcqnhtdlh9hw0rqr" Type="http://schemas.openxmlformats.org/officeDocument/2006/relationships/hyperlink" Target="https://www.usgs.gov/centers/eros/science/national-land-cover-database" TargetMode="External"/><Relationship Id="rIdbvpkp7xhlpmwhqeq7umdg" Type="http://schemas.openxmlformats.org/officeDocument/2006/relationships/hyperlink" Target="https://wildfiretaskforce.org/wp-content/uploads/2022/04/californiawildfireandforestresilienceactionplan.pdf" TargetMode="External"/><Relationship Id="rIdr01-fosins6b4wejigaye" Type="http://schemas.openxmlformats.org/officeDocument/2006/relationships/hyperlink" Target="https://wildfiretaskforce.org/california-launches-online-treatment-dashboard-to-track-wildfire-resilience-projects/" TargetMode="External"/><Relationship Id="rId7" Type="http://schemas.openxmlformats.org/officeDocument/2006/relationships/image" Target="media/fh1zrasl4xyxpasneuyn7.png"/><Relationship Id="rId8" Type="http://schemas.openxmlformats.org/officeDocument/2006/relationships/image" Target="media/kd-5gns7s8rvtm0quj7sf.png"/><Relationship Id="rId9" Type="http://schemas.openxmlformats.org/officeDocument/2006/relationships/image" Target="media/cnmnucukc53tyae7d4a11.png"/></Relationships>
</file>

<file path=word/_rels/footer1.xml.rels><?xml version="1.0" encoding="UTF-8"?><Relationships xmlns="http://schemas.openxmlformats.org/package/2006/relationships"><Relationship Id="rId0" Type="http://schemas.openxmlformats.org/officeDocument/2006/relationships/image" Target="media/keu6tfu4xcjn85ck4ib5j.png"/></Relationships>
</file>

<file path=word/_rels/footnotes.xml.rels><?xml version="1.0" encoding="UTF-8"?><Relationships xmlns="http://schemas.openxmlformats.org/package/2006/relationships"><Relationship Id="rIdurkcc_ntziicnce9a6pjo" Type="http://schemas.openxmlformats.org/officeDocument/2006/relationships/hyperlink" Target="https://gsal.sig-gis.com/portal/apps/experiencebuilder/experience/?id=95be34ea351b440f9e4ce0f9d3826a77&amp;page=Activity"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Resilience Gap</dc:title>
  <dc:creator>Un-named</dc:creator>
  <cp:keywords>f, u, n, d, i, g, ,,  , c, a, p, t, y, w, l, r, e, o, s, h, m, v</cp:keywords>
  <cp:lastModifiedBy>Un-named</cp:lastModifiedBy>
  <cp:revision>1</cp:revision>
  <dcterms:created xsi:type="dcterms:W3CDTF">2025-08-22T08:24:24.025Z</dcterms:created>
  <dcterms:modified xsi:type="dcterms:W3CDTF">2025-08-22T08:24:24.025Z</dcterms:modified>
</cp:coreProperties>
</file>

<file path=docProps/custom.xml><?xml version="1.0" encoding="utf-8"?>
<Properties xmlns="http://schemas.openxmlformats.org/officeDocument/2006/custom-properties" xmlns:vt="http://schemas.openxmlformats.org/officeDocument/2006/docPropsVTypes"/>
</file>