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JPA Funding Strategies 💵</w:t>
      </w:r>
    </w:p>
    <w:p>
      <w:pPr>
        <w:pStyle w:val="Heading4"/>
      </w:pPr>
      <w:r>
        <w:t xml:space="preserve">Vance Russell</w:t>
      </w:r>
    </w:p>
    <w:p>
      <w:pPr>
        <w:pStyle w:val="Heading2"/>
      </w:pPr>
      <w:r>
        <w:t xml:space="preserve">1.1	</w:t>
      </w:r>
      <w:r>
        <w:t xml:space="preserve">JPA Funding Strategies</w:t>
      </w:r>
    </w:p>
    <w:p>
      <w:r>
        <w:t xml:space="preserve">Joint Powers Authorities (JPAs) are proposed as a solution in California to facilitate agreements with forest landowners and managers, thereby creating long-term supply contracts and increasing investor support for wood products businesses. Funding JPAs presents challenges, given the difficulties of securing grants and private investments. Creating a diversified funding portfolio is crucial, especially for new entities, and suggestions for achieving this are provided.</w:t>
      </w:r>
    </w:p>
    <w:p>
      <w:pPr>
        <w:pStyle w:val="Heading3"/>
      </w:pPr>
      <w:r>
        <w:t xml:space="preserve">1.1.1	</w:t>
      </w:r>
      <w:r>
        <w:t xml:space="preserve">Takeaways</w:t>
      </w:r>
    </w:p>
    <w:p>
      <w:r>
        <w:t xml:space="preserve">Developing diverse funding sources is always a sound strategy. Additionally, creating steady and dependable income sources can help complement the dynamic world of grant funding. Additional takeaways are the following:</w:t>
      </w:r>
    </w:p>
    <w:p>
      <w:pPr>
        <w:pStyle w:val="ListParagraph"/>
        <w:numPr>
          <w:ilvl w:val="0"/>
          <w:numId w:val="10"/>
        </w:numPr>
      </w:pPr>
      <w:r>
        <w:rPr>
          <w:b/>
          <w:bCs/>
        </w:rPr>
        <w:t xml:space="preserve">Portfolio strategy</w:t>
      </w:r>
      <w:r>
        <w:t xml:space="preserve">. Be strategic about what funds you utilize for different projects and programs. Look to foundations and business support grants for organizational startup or administrative costs. Still, there are implementation grants for field projects and private or bank loans for scaling once a JPA is established.</w:t>
      </w:r>
    </w:p>
    <w:p>
      <w:pPr>
        <w:pStyle w:val="ListParagraph"/>
        <w:numPr>
          <w:ilvl w:val="0"/>
          <w:numId w:val="10"/>
        </w:numPr>
      </w:pPr>
      <w:r>
        <w:rPr>
          <w:b/>
          <w:bCs/>
        </w:rPr>
        <w:t xml:space="preserve">Temporal ramping</w:t>
      </w:r>
      <w:r>
        <w:t xml:space="preserve">. Revenue sources outside the realm of taxes and grants may be difficult to create and execute with risk-averse agencies and organizations. Try funding with traditional resources, such as grants, first, and then gradually introduce new resources to diversify your funding portfolio and help establish the new organization’s financial stability over time.</w:t>
      </w:r>
    </w:p>
    <w:p>
      <w:pPr>
        <w:pStyle w:val="ListParagraph"/>
        <w:numPr>
          <w:ilvl w:val="0"/>
          <w:numId w:val="10"/>
        </w:numPr>
      </w:pPr>
      <w:r>
        <w:rPr>
          <w:b/>
          <w:bCs/>
        </w:rPr>
        <w:t xml:space="preserve">Grant dependence &amp; giving</w:t>
      </w:r>
      <w:r>
        <w:t xml:space="preserve">. In a similar vein, just because grants are available does not mean that will be the case indefinitely. As soon as you secure a grant, leverage it with other funding sources and work tirelessly to create more dependable and steady income sources. It may seem daunting, but remember that the single largest source of charitable giving in the United States comes from individuals, not foundations, corporations, or grant-making agencies. Individual contributions are also the least restricted type of funding, making them critical for covering operational expenses. Develop a strategy to cultivate local support through individual donations and campaigns.</w:t>
      </w:r>
    </w:p>
    <w:p>
      <w:pPr>
        <w:pStyle w:val="Heading3"/>
      </w:pPr>
      <w:r>
        <w:t xml:space="preserve">1.1.2	</w:t>
      </w:r>
      <w:r>
        <w:t xml:space="preserve">Background</w:t>
      </w:r>
    </w:p>
    <w:p>
      <w:r>
        <w:t xml:space="preserve">The large wildfire seasons of the past five years were catastrophic for forests and communities. However, according to </w:t>
      </w:r>
      <w:r>
        <w:t xml:space="preserve">Keeley &amp; Syphard (2021)</w:t>
      </w:r>
      <w:r>
        <w:t xml:space="preserve">, these events are not unprecedented in recent California history and are typically associated with periods of drought, e.g., the 1920s and 2010s. According to </w:t>
      </w:r>
      <w:r>
        <w:t xml:space="preserve">North </w:t>
      </w:r>
      <w:r>
        <w:rPr>
          <w:i/>
          <w:iCs/>
        </w:rPr>
        <w:t xml:space="preserve">et al.</w:t>
      </w:r>
      <w:r>
        <w:t xml:space="preserve"> (2022)</w:t>
      </w:r>
      <w:r>
        <w:t xml:space="preserve">, tree densities in the Sierra Nevada have increased by up to sevenfold over the past century, while average tree size has decreased by 50%.</w:t>
      </w:r>
    </w:p>
    <w:p>
      <w:r>
        <w:t xml:space="preserve">Not only does this overcrowding weaken forest health, but excessively dense forests also cause fires to burn more severely. A meta-analysis led by </w:t>
      </w:r>
      <w:r>
        <w:t xml:space="preserve">Hagmann </w:t>
      </w:r>
      <w:r>
        <w:rPr>
          <w:i/>
          <w:iCs/>
        </w:rPr>
        <w:t xml:space="preserve">et al.</w:t>
      </w:r>
      <w:r>
        <w:t xml:space="preserve"> (2021)</w:t>
      </w:r>
      <w:r>
        <w:t xml:space="preserve"> showed a fire deficit and widespread alteration of ecological structure and function across seasonally dry forests of western North America. A chronic level of stress is created by high competition across tree stands, resulting in reduced resilience to drought, disease, fire, and climate change. </w:t>
      </w:r>
      <w:r>
        <w:t xml:space="preserve">North </w:t>
      </w:r>
      <w:r>
        <w:rPr>
          <w:i/>
          <w:iCs/>
        </w:rPr>
        <w:t xml:space="preserve">et al.</w:t>
      </w:r>
      <w:r>
        <w:t xml:space="preserve"> (2009)</w:t>
      </w:r>
      <w:r>
        <w:t xml:space="preserve"> advocates for an aggressive approach to treating fire-suppressed stands using an ecologically based approach that reduces the total number of trees/acre while maintaining stand heterogeneity.</w:t>
      </w:r>
    </w:p>
    <w:p>
      <w:pPr>
        <w:pStyle w:val="Heading3"/>
      </w:pPr>
      <w:r>
        <w:t xml:space="preserve">1.1.3	</w:t>
      </w:r>
      <w:r>
        <w:t xml:space="preserve">Concerns</w:t>
      </w:r>
    </w:p>
    <w:p>
      <w:r>
        <w:t xml:space="preserve">A significant cause for concern regarding the protection of old-growth forests in the United States is their decline from historical levels due to logging and development. </w:t>
      </w:r>
      <w:r>
        <w:t xml:space="preserve">DellaSala </w:t>
      </w:r>
      <w:r>
        <w:rPr>
          <w:i/>
          <w:iCs/>
        </w:rPr>
        <w:t xml:space="preserve">et al.</w:t>
      </w:r>
      <w:r>
        <w:t xml:space="preserve"> (2022)</w:t>
      </w:r>
      <w:r>
        <w:t xml:space="preserve"> highlight the fact that a large proportion of the remaining mature and old-growth forests on federal lands are still vulnerable to logging. The loss of these forests will not only diminish biodiversity but also release substantial amounts of carbon into the atmosphere.</w:t>
      </w:r>
    </w:p>
    <w:p>
      <w:r>
        <w:t xml:space="preserve">Further compounding these concerns is the lack of a coordinated and effective national policy for old-growth conservation. </w:t>
      </w:r>
      <w:r>
        <w:t xml:space="preserve">Carroll </w:t>
      </w:r>
      <w:r>
        <w:rPr>
          <w:i/>
          <w:iCs/>
        </w:rPr>
        <w:t xml:space="preserve">et al.</w:t>
      </w:r>
      <w:r>
        <w:t xml:space="preserve"> (2025)</w:t>
      </w:r>
      <w:r>
        <w:t xml:space="preserve"> point to a history of policy debates, such as the National Old-Growth Amendment, which failed to provide lasting protection. The authors advocate for a more comprehensive approach that extends beyond simple harvest restrictions to encompass landscape-level planning, the establishment of reserves, the protection of climate refugia, and the setting of specific goals for the recovery of species that depend on these unique habitats. Impacts on these forests are a concern for communities that rely on them for their water supplies.</w:t>
      </w:r>
    </w:p>
    <w:p>
      <w:r>
        <w:t xml:space="preserve">However, let’s be very clear: thinning dense stands of fire-prone forests is entirely different from logging old-growth forests, and ecologically based thinning is not an excuse to log when maintaining stand heterogeneity and reducing fire risk are the primary treatment goals. Yet, misinformation about wildfire and forest treatments, similar to climate misinformation, persists (</w:t>
      </w:r>
      <w:r>
        <w:t xml:space="preserve">Jones </w:t>
      </w:r>
      <w:r>
        <w:rPr>
          <w:i/>
          <w:iCs/>
        </w:rPr>
        <w:t xml:space="preserve">et al.</w:t>
      </w:r>
      <w:r>
        <w:t xml:space="preserve"> (2022)</w:t>
      </w:r>
      <w:r>
        <w:t xml:space="preserve">).</w:t>
      </w:r>
    </w:p>
    <w:p>
      <w:r>
        <w:t xml:space="preserve">Managers implementing forest health treatments should adopt a tailored approach to increase forest resilience, mitigate fire risk, bring stands within a natural range of variation, and create forests that can thrive over the long term.</w:t>
      </w:r>
      <w:r>
        <w:rPr>
          <w:rStyle w:val="FootnoteReference"/>
        </w:rPr>
        <w:footnoteReference w:id="1"/>
      </w:r>
      <w:r>
        <w:t xml:space="preserve"> Treating mixed conifer stands on the western slope of the Sierra Nevada requires different treatments than mesic forests in the Pacific Northwest. Managers should take steps to reduce fire risk while still considering the negative impacts on biodiversity when planning any fire mitigation project.</w:t>
      </w:r>
    </w:p>
    <w:p>
      <w:pPr>
        <w:pStyle w:val="Heading3"/>
      </w:pPr>
      <w:r>
        <w:t xml:space="preserve">1.1.4	</w:t>
      </w:r>
      <w:r>
        <w:t xml:space="preserve">Feedstock Aggregation</w:t>
      </w:r>
    </w:p>
    <w:p>
      <w:r>
        <w:t xml:space="preserve">Thinned forests create a lot of biomass, and much of that biomass from forest health projects ends up in burn piles or log decks and may stay in these locations indefinitely. Not only does this negate fire mitigation efforts, as burn piles and decks can promote or worsen fires, but the carbon from wood is also at risk of not being sequestered.</w:t>
      </w:r>
    </w:p>
    <w:p>
      <w:r>
        <w:t xml:space="preserve">Processing biomass from thinning is challenging; </w:t>
      </w:r>
      <w:r>
        <w:t xml:space="preserve">Swezy </w:t>
      </w:r>
      <w:r>
        <w:rPr>
          <w:i/>
          <w:iCs/>
        </w:rPr>
        <w:t xml:space="preserve">et al.</w:t>
      </w:r>
      <w:r>
        <w:t xml:space="preserve"> (2021)</w:t>
      </w:r>
      <w:r>
        <w:t xml:space="preserve"> found that the cost of forest restoration far exceeds current market prices for biomass. </w:t>
      </w:r>
      <w:r>
        <w:t xml:space="preserve">Becker </w:t>
      </w:r>
      <w:r>
        <w:rPr>
          <w:i/>
          <w:iCs/>
        </w:rPr>
        <w:t xml:space="preserve">et al.</w:t>
      </w:r>
      <w:r>
        <w:t xml:space="preserve"> (2011)</w:t>
      </w:r>
      <w:r>
        <w:t xml:space="preserve"> point out that supply guarantees, industry presence, transportation, and the value of the biomass are limiting factors to utilization, whereas agency staffing, budgets, compliance, and partnership aggravated utilization problems rather than impeding progress. A burn pile inventory across California showed massive wood tonnages scattered through national forests and other lands </w:t>
      </w:r>
      <w:r>
        <w:t xml:space="preserve">(</w:t>
      </w:r>
      <w:r>
        <w:t xml:space="preserve">Darlington </w:t>
      </w:r>
      <w:r>
        <w:rPr>
          <w:i/>
          <w:iCs/>
        </w:rPr>
        <w:t xml:space="preserve">et al.</w:t>
      </w:r>
      <w:r>
        <w:t xml:space="preserve">, 2023</w:t>
      </w:r>
      <w:r>
        <w:t xml:space="preserve">)</w:t>
      </w:r>
      <w:r>
        <w:t xml:space="preserve">. Yet burning those piles is likely more expensive than transporting them to a facility for processing (</w:t>
      </w:r>
      <w:r>
        <w:t xml:space="preserve">Barker et al 2024</w:t>
      </w:r>
      <w:r>
        <w:t xml:space="preserve">).</w:t>
      </w:r>
    </w:p>
    <w:p>
      <w:r>
        <w:t xml:space="preserve">Transportation subsidies to move this feedstock to central locations or nearby facilities could be a crucial missing component in addressing the wildfire problem across the western United States.</w:t>
      </w:r>
      <w:r>
        <w:rPr>
          <w:rStyle w:val="FootnoteReference"/>
        </w:rPr>
        <w:footnoteReference w:id="2"/>
      </w:r>
      <w:r>
        <w:t xml:space="preserve"> Transporting the feedstock to a central location, accessible and central to processors, biomass facilities, and wood product businesses, would help move the biomass out of the woods, mitigating fire risk while also facilitating the centralization of long-term feedstock contracts with landowners and managing agencies.</w:t>
      </w:r>
    </w:p>
    <w:p>
      <w:r>
        <w:t xml:space="preserve">For instance, </w:t>
      </w:r>
      <w:hyperlink w:history="1" r:id="rId-koxdvkvvfxoz02iludj-">
        <w:r>
          <w:rPr>
            <w:rStyle w:val="Hyperlink"/>
          </w:rPr>
          <w:t xml:space="preserve">Regenerative Forest Solutions</w:t>
        </w:r>
      </w:hyperlink>
      <w:r>
        <w:t xml:space="preserve"> identified approximately half (242,365 acres) of Sonoma County’s forested acres as feasible for treatments (</w:t>
      </w:r>
      <w:r>
        <w:t xml:space="preserve">Figure </w:t>
      </w:r>
      <w:r>
        <w:t xml:space="preserve">1.1</w:t>
      </w:r>
      <w:r>
        <w:t xml:space="preserve">). Berry Sawmill was identified as an ideal location for a wood products campus and aggregation yard </w:t>
      </w:r>
      <w:r>
        <w:t xml:space="preserve">(</w:t>
      </w:r>
      <w:r>
        <w:t xml:space="preserve">Costa, 2025</w:t>
      </w:r>
      <w:r>
        <w:t xml:space="preserve">)</w:t>
      </w:r>
      <w:r>
        <w:t xml:space="preserve">. Creating similar management entities across the West could make it easier for investors to conduct due diligence. Joint Powers Authorities may be an organizational template that can meet these needs. </w:t>
      </w:r>
      <w:r>
        <w:t xml:space="preserve">Swezy &amp; Oldson (2025)</w:t>
      </w:r>
      <w:r>
        <w:t xml:space="preserve"> cautioned against starting new sort yards in northeast California, instead focusing on supporting existing biomass facilities, offering insurance to existing wood yards, and securing funding for a consistent pipeline of environmentally compliant (CEQA/NEPA) projects on which operators can bid.</w:t>
      </w:r>
    </w:p>
    <w:p>
      <w:pPr>
        <w:jc w:val="center"/>
      </w:pPr>
      <w:r>
        <w:drawing>
          <wp:inline distT="0" distB="0" distL="0" distR="0">
            <wp:extent cx="4000500" cy="309129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91295"/>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Feasible treatment areas of Sonoma County and the location of Berry Sawmill as a feedstock aggregation site—adapted from </w:t>
      </w:r>
      <w:r>
        <w:t xml:space="preserve">Tukman &amp; Griffith (2022)</w:t>
      </w:r>
      <w:r>
        <w:t xml:space="preserve">. Treatment areas exclude waterways, slopes above 45%, and biomass that is not within sufficient proximity to roadways.</w:t>
      </w:r>
    </w:p>
    <w:p>
      <w:pPr>
        <w:pStyle w:val="Heading3"/>
      </w:pPr>
      <w:r>
        <w:t xml:space="preserve">1.1.5	</w:t>
      </w:r>
      <w:r>
        <w:t xml:space="preserve">Joint Powers Authority</w:t>
      </w:r>
    </w:p>
    <w:p>
      <w:r>
        <w:t xml:space="preserve">Perhaps the most critical challenge to biomass utilization is establishing long-term feedstock supply contracts. For example, the USDA Forest Service, which manages 60% of California’s forests, typically allows a maximum of five years for a feedstock supply contract </w:t>
      </w:r>
      <w:r>
        <w:t xml:space="preserve">(</w:t>
      </w:r>
      <w:r>
        <w:t xml:space="preserve">CSG, 2020</w:t>
      </w:r>
      <w:r>
        <w:t xml:space="preserve">)</w:t>
      </w:r>
      <w:r>
        <w:t xml:space="preserve">. The lack of long-term contracts makes investment in wood utilization businesses risky. Creating JPAs in some regions may be a solution to address this issue. JPAs could act as brokers to facilitate long-term contracts between suppliers and processors, thereby driving investment in processing facilities. Most lenders and investors view wood product businesses as too risky without a minimum term contract of 10 years, preferably longer </w:t>
      </w:r>
      <w:r>
        <w:t xml:space="preserve">(</w:t>
      </w:r>
      <w:r>
        <w:t xml:space="preserve">Darlington &amp; Stevenson, 2023</w:t>
      </w:r>
      <w:r>
        <w:t xml:space="preserve">)</w:t>
      </w:r>
      <w:r>
        <w:t xml:space="preserve">.</w:t>
      </w:r>
    </w:p>
    <w:p>
      <w:r>
        <w:t xml:space="preserve">In addition to potentially resolving this problem, JPAs also have the following benefits that may help drive economic development </w:t>
      </w:r>
      <w:r>
        <w:t xml:space="preserve">(</w:t>
      </w:r>
      <w:r>
        <w:t xml:space="preserve">Darlington, 2025</w:t>
      </w:r>
      <w:r>
        <w:t xml:space="preserve">)</w:t>
      </w:r>
      <w:r>
        <w:t xml:space="preserve">:</w:t>
      </w:r>
    </w:p>
    <w:p>
      <w:pPr>
        <w:pStyle w:val="ListParagraph"/>
        <w:numPr>
          <w:ilvl w:val="0"/>
          <w:numId w:val="11"/>
        </w:numPr>
      </w:pPr>
      <w:r>
        <w:t xml:space="preserve">Shared risk mitigation</w:t>
      </w:r>
    </w:p>
    <w:p>
      <w:pPr>
        <w:pStyle w:val="ListParagraph"/>
        <w:numPr>
          <w:ilvl w:val="0"/>
          <w:numId w:val="11"/>
        </w:numPr>
      </w:pPr>
      <w:r>
        <w:t xml:space="preserve">Improved service delivery, including contract development/management for third parties</w:t>
      </w:r>
    </w:p>
    <w:p>
      <w:pPr>
        <w:pStyle w:val="ListParagraph"/>
        <w:numPr>
          <w:ilvl w:val="0"/>
          <w:numId w:val="11"/>
        </w:numPr>
      </w:pPr>
      <w:r>
        <w:t xml:space="preserve">Cost-sharing, grant pursuit, and shared staffing</w:t>
      </w:r>
    </w:p>
    <w:p>
      <w:pPr>
        <w:pStyle w:val="ListParagraph"/>
        <w:numPr>
          <w:ilvl w:val="0"/>
          <w:numId w:val="11"/>
        </w:numPr>
      </w:pPr>
      <w:r>
        <w:t xml:space="preserve">Enhanced coordination among participating agencies, cities, and counties</w:t>
      </w:r>
    </w:p>
    <w:p>
      <w:pPr>
        <w:pStyle w:val="ListParagraph"/>
        <w:numPr>
          <w:ilvl w:val="0"/>
          <w:numId w:val="11"/>
        </w:numPr>
      </w:pPr>
      <w:r>
        <w:t xml:space="preserve">Jointly established bonds, debt, and insurance tools, and public infrastructure finance</w:t>
      </w:r>
    </w:p>
    <w:p/>
    <w:p>
      <w:pPr>
        <w:pBdr>
          <w:left w:val="double" w:color="5D85D0"/>
        </w:pBdr>
        <w:shd w:color="5D85D0" w:val="solid"/>
        <w:ind w:left="288" w:right="288"/>
      </w:pPr>
      <w:r>
        <w:rPr>
          <w:b/>
          <w:bCs/>
          <w:color w:val="FFFFFF"/>
        </w:rPr>
        <w:t xml:space="preserve">What is a JPA?</w:t>
      </w:r>
    </w:p>
    <w:p>
      <w:pPr>
        <w:pBdr>
          <w:left w:val="double" w:color="5D85D0"/>
        </w:pBdr>
        <w:ind w:left="288" w:right="288"/>
      </w:pPr>
      <w:r>
        <w:t xml:space="preserve">Joint Powers Authorities are legally created entities that allow two or more public agencies to jointly exercise common powers </w:t>
      </w:r>
      <w:r>
        <w:t xml:space="preserve">(</w:t>
      </w:r>
      <w:r>
        <w:t xml:space="preserve">Sousa Mills, 2016</w:t>
      </w:r>
      <w:r>
        <w:t xml:space="preserve">)</w:t>
      </w:r>
      <w:r>
        <w:t xml:space="preserve">. A joint powers authority shares powers common to the member agencies, and those powers are outlined in the joint powers agreement. Joint powers are exercised when public officials from more than two agencies agree to create a new legal entity or establish a joint approach to address a common problem, fund a project, or serve as a representative body for a specific activity. Examples of areas where JPAs are used commonly include groundwater management, road construction, and habitat conservation </w:t>
      </w:r>
      <w:r>
        <w:t xml:space="preserve">(</w:t>
      </w:r>
      <w:r>
        <w:t xml:space="preserve">Cypher &amp; Grinnell, 2007</w:t>
      </w:r>
      <w:r>
        <w:t xml:space="preserve">)</w:t>
      </w:r>
      <w:r>
        <w:t xml:space="preserve">.</w:t>
      </w:r>
    </w:p>
    <w:p/>
    <w:p>
      <w:r>
        <w:t xml:space="preserve">Developing JPAs as a management entity for feedstock aggregation is a key component of the California Forest Residual Aggregation for Market Enhancement (CALFRAME) pilot, funded by the Governor’s Office of Land Use and Climate Innovation. This funding strategy for a JPA is adapted from this broader effort, with more detail available from </w:t>
      </w:r>
      <w:r>
        <w:t xml:space="preserve">Darlington &amp; Stevenson (2023)</w:t>
      </w:r>
      <w:r>
        <w:t xml:space="preserve">.</w:t>
      </w:r>
    </w:p>
    <w:p>
      <w:r>
        <w:t xml:space="preserve">JPA establishment is at different levels across the state. During the establishment or modification of existing JPAs, participants have been clear about the entity’s role: to act as a critical entity for long-term feedstock supply contracts without competing for funds with other organizations, such as Resource Conservation Districts (RCDs), sawmills, or licensed timber operators (LTOs). This approach requires a realistic revenue assessment and a plan for the initial five years of operation, acknowledging that creating a stably funded JPA will be challenging given the wide fluctuations in private and public funding. But how can such an entity be funded in rural counties with low tax bases that cannot support a sales tax to develop sustainable revenue for a new entity?</w:t>
      </w:r>
      <w:r>
        <w:rPr>
          <w:rStyle w:val="FootnoteReference"/>
        </w:rPr>
        <w:footnoteReference w:id="3"/>
      </w:r>
    </w:p>
    <w:p/>
    <w:p>
      <w:pPr>
        <w:pBdr>
          <w:left w:val="double" w:color="5D85D0"/>
        </w:pBdr>
        <w:shd w:color="5D85D0" w:val="solid"/>
        <w:ind w:left="288" w:right="288"/>
      </w:pPr>
      <w:r>
        <w:rPr>
          <w:b/>
          <w:bCs/>
          <w:color w:val="FFFFFF"/>
        </w:rPr>
        <w:t xml:space="preserve">LTO and RCD role in forest management</w:t>
      </w:r>
    </w:p>
    <w:p>
      <w:pPr>
        <w:pBdr>
          <w:left w:val="double" w:color="5D85D0"/>
        </w:pBdr>
        <w:ind w:left="288" w:right="288"/>
      </w:pPr>
      <w:r>
        <w:rPr>
          <w:b/>
          <w:bCs/>
        </w:rPr>
        <w:t xml:space="preserve">Resource Conservation Districts</w:t>
      </w:r>
      <w:r>
        <w:t xml:space="preserve"> (RCDs) are quasi-governmental, non-regulatory agencies based in California’s counties, providing critical resources, funding, and training to address forest health. There are approximately 40 RCDs with forestry programs that focus on implementing thinning, prescribed fire, and providing technical assistance to private landowners, as well as collaborating with other organizations (</w:t>
      </w:r>
      <w:hyperlink w:history="1" r:id="rIdsovsxaukpbnxuqrndmj1n">
        <w:r>
          <w:rPr>
            <w:rStyle w:val="Hyperlink"/>
          </w:rPr>
          <w:t xml:space="preserve">CARCD</w:t>
        </w:r>
      </w:hyperlink>
      <w:r>
        <w:t xml:space="preserve">).</w:t>
      </w:r>
    </w:p>
    <w:p>
      <w:pPr>
        <w:pBdr>
          <w:left w:val="double" w:color="5D85D0"/>
        </w:pBdr>
        <w:ind w:left="288" w:right="288"/>
      </w:pPr>
      <w:r>
        <w:rPr>
          <w:b/>
          <w:bCs/>
        </w:rPr>
        <w:t xml:space="preserve">Licensed Timber Operators</w:t>
      </w:r>
      <w:r>
        <w:t xml:space="preserve"> (LTOs) are the loggers licensed to operate forestry operations in the state of California. They are licensed under the state’s Forest Practice Act Law and authorized to conduct tree cutting and removal (</w:t>
      </w:r>
      <w:hyperlink w:history="1" r:id="rIdntsd9k9lwprao2fgv5ecz">
        <w:r>
          <w:rPr>
            <w:rStyle w:val="Hyperlink"/>
          </w:rPr>
          <w:t xml:space="preserve">CAL FIRE</w:t>
        </w:r>
      </w:hyperlink>
      <w:r>
        <w:t xml:space="preserve">). During the past decade, LTOs have been critical to carrying out forest health projects funded by CAL FIRE and others to reduce wildfire risk and improve forest resilience. Their limited numbers have at times curtailed forest health projects.</w:t>
      </w:r>
    </w:p>
    <w:p/>
    <w:p>
      <w:pPr>
        <w:pStyle w:val="Heading2"/>
      </w:pPr>
      <w:r>
        <w:t xml:space="preserve">1.2	</w:t>
      </w:r>
      <w:r>
        <w:t xml:space="preserve">Funding Options</w:t>
      </w:r>
    </w:p>
    <w:p>
      <w:r>
        <w:t xml:space="preserve">The abundance of state and federal funding over the past five years has led many agencies and organizations to rely heavily on grant funding for implementing restoration and infrastructure projects. The Trump administration’s cuts in 2025, or the periodic surplus/deficit of California state funding, demonstrate the vulnerability of grant funding dependence. Many organizations are familiar with the cyclical nature of funding sources and seek to create more dependable, even-keeled funding streams, although grants can often complement stable revenue streams.</w:t>
      </w:r>
    </w:p>
    <w:p>
      <w:pPr>
        <w:pStyle w:val="Heading3"/>
      </w:pPr>
      <w:r>
        <w:t xml:space="preserve">1.2.1	</w:t>
      </w:r>
      <w:r>
        <w:t xml:space="preserve">Traditional</w:t>
      </w:r>
    </w:p>
    <w:p>
      <w:r>
        <w:t xml:space="preserve">Many of the Office of Land Use and Climate Innovation’s feedstock aggregation pilots recognized the need for long-term funding sources and that grants are not a dependable resource to maintain an organization over time. Traditional funding sources are many, and a blended portfolio should help weather changes in grant cycles and tap into funding sources that can provide steady revenue. These options are described below, with the pluses and minuses of each summarized in (</w:t>
      </w:r>
      <w:r>
        <w:t xml:space="preserve">Table </w:t>
      </w:r>
      <w:r>
        <w:t xml:space="preserve">1.1</w:t>
      </w:r>
      <w:r>
        <w:t xml:space="preserve">). Other revenue sources, such as climate bond funding, agency funding, and legislative action, are also available, but their outcomes tend to be grant-based and temporary.</w:t>
      </w:r>
    </w:p>
    <w:p>
      <w:pPr>
        <w:pStyle w:val="ListParagraph"/>
        <w:numPr>
          <w:ilvl w:val="0"/>
          <w:numId w:val="12"/>
        </w:numPr>
      </w:pPr>
      <w:r>
        <w:rPr>
          <w:b/>
          <w:bCs/>
        </w:rPr>
        <w:t xml:space="preserve">Endowment</w:t>
      </w:r>
      <w:r>
        <w:t xml:space="preserve">. In the case of the feedstock aggregation pilots, the Office of Land Use and Climate Change Innovation provided a funding tranche to kickstart JPA creation. This funding could be used to create an endowment or, at the very least, seed an endowment that could provide a steady source of unrestricted revenue if invested wisely. Other JPAs could do the same with an initial foundation grant or a campaign to raise sufficient funds to start an endowment.</w:t>
      </w:r>
    </w:p>
    <w:p>
      <w:pPr>
        <w:pStyle w:val="ListParagraph"/>
        <w:numPr>
          <w:ilvl w:val="0"/>
          <w:numId w:val="12"/>
        </w:numPr>
      </w:pPr>
      <w:r>
        <w:rPr>
          <w:b/>
          <w:bCs/>
        </w:rPr>
        <w:t xml:space="preserve">Contributions</w:t>
      </w:r>
      <w:r>
        <w:t xml:space="preserve">. A capital campaign to raise awareness about a JPA and generate individual, corporate, and foundation grants would complement any secured funds. Match from non-public sources often makes grant applications more competitive. A well-defined JPA strategy that clearly outlines the mission, programs, and projects is crucial for focusing funding requests. Similarly, for any grant application, it prioritizes which funding to pursue </w:t>
      </w:r>
      <w:r>
        <w:t xml:space="preserve">(</w:t>
      </w:r>
      <w:r>
        <w:t xml:space="preserve">Russell </w:t>
      </w:r>
      <w:r>
        <w:rPr>
          <w:i/>
          <w:iCs/>
        </w:rPr>
        <w:t xml:space="preserve">et al.</w:t>
      </w:r>
      <w:r>
        <w:t xml:space="preserve">, 2024</w:t>
      </w:r>
      <w:r>
        <w:t xml:space="preserve">)</w:t>
      </w:r>
      <w:r>
        <w:t xml:space="preserve">. Capital or general campaigns can be an excellent vehicle to drive individual donations and raise awareness about the importance of the issue at hand.</w:t>
      </w:r>
    </w:p>
    <w:p>
      <w:pPr>
        <w:pStyle w:val="ListParagraph"/>
        <w:numPr>
          <w:ilvl w:val="0"/>
          <w:numId w:val="12"/>
        </w:numPr>
      </w:pPr>
      <w:r>
        <w:rPr>
          <w:b/>
          <w:bCs/>
        </w:rPr>
        <w:t xml:space="preserve">Federal and State Grants</w:t>
      </w:r>
      <w:r>
        <w:t xml:space="preserve">. It is unlikely that a JPA will receive significant operational funding from state and federal grants, but any proposals it leads or participates in could charge overhead (~10%) plus directly bill salaries to cover some operating costs related to the grant. A negotiated indirect cost rate agreement, or NICRA, to increase this value through public grants could be another approach to boost operating cost revenues.</w:t>
      </w:r>
    </w:p>
    <w:p>
      <w:pPr>
        <w:pStyle w:val="ListParagraph"/>
        <w:numPr>
          <w:ilvl w:val="0"/>
          <w:numId w:val="12"/>
        </w:numPr>
      </w:pPr>
      <w:r>
        <w:rPr>
          <w:b/>
          <w:bCs/>
        </w:rPr>
        <w:t xml:space="preserve">Member Contributions</w:t>
      </w:r>
      <w:r>
        <w:t xml:space="preserve">. JPA members or beneficiaries, such as RCDs, pay an annual cost to participate in the feedstock aggregation program. Membership would provide consistent revenue and encourage the member organizations to be involved in the development and success of the JPA.</w:t>
      </w:r>
    </w:p>
    <w:p>
      <w:pPr>
        <w:pStyle w:val="ListParagraph"/>
        <w:numPr>
          <w:ilvl w:val="0"/>
          <w:numId w:val="12"/>
        </w:numPr>
      </w:pPr>
      <w:r>
        <w:rPr>
          <w:b/>
          <w:bCs/>
        </w:rPr>
        <w:t xml:space="preserve">Fee-for-service</w:t>
      </w:r>
      <w:r>
        <w:t xml:space="preserve">. Charging fees for forest management, timber harvest plans, feedstock contracts, or grant administration, depending on the skills of the JPA staff, could be another way to generate a steady income source. Western Shasta RCD, for example, works with non-industrial forest owners to develop forest management plans. The State can fund the development of forest management plans for private landowners. A JPA could offer similar services as long as it does not compete with RCDs in the region.</w:t>
      </w:r>
    </w:p>
    <w:p>
      <w:pPr>
        <w:pStyle w:val="ListParagraph"/>
        <w:numPr>
          <w:ilvl w:val="0"/>
          <w:numId w:val="12"/>
        </w:numPr>
      </w:pPr>
      <w:r>
        <w:rPr>
          <w:b/>
          <w:bCs/>
        </w:rPr>
        <w:t xml:space="preserve">Sort yards</w:t>
      </w:r>
      <w:r>
        <w:t xml:space="preserve">. Managing a sort yard for aggregated feedstock could be a strategic revenue source. Note that feedstock aggregation and sort yards should not be conflated, nor should the creation of JPAs be thought of as sort yard managers. A sort yard may be one strategy for income generation, but it not necessarily connected to the goal of a feedstock aggregation JPA, which is to broker long-term supply contracts.</w:t>
      </w:r>
    </w:p>
    <w:p>
      <w:pPr>
        <w:pStyle w:val="Caption"/>
      </w:pPr>
      <w:r>
        <w:rPr>
          <w:b/>
          <w:bCs/>
        </w:rPr>
        <w:t xml:space="preserve">Table </w:t>
      </w:r>
      <w:r>
        <w:rPr>
          <w:b/>
          <w:bCs/>
        </w:rPr>
        <w:t xml:space="preserve">1.1</w:t>
      </w:r>
      <w:r>
        <w:rPr>
          <w:b/>
          <w:bCs/>
        </w:rPr>
        <w:t xml:space="preserve">:</w:t>
      </w:r>
      <w:r>
        <w:t xml:space="preserve"> </w:t>
      </w:r>
      <w:r>
        <w:t xml:space="preserve">Analysis of funding types suitable for aggregation JPAs. Timing roughly refers to the amount of time required to generate income. Difficulty is a qualitative scale ranging from 1 (easiest to secure) to 5 (most difficult). Note that sort yards are not to be conflated with JPA creation or feedstock aggregation.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val="false"/>
        </w:trPr>
        <w:tc>
          <w:p>
            <w:r>
              <w:t xml:space="preserve">Type</w:t>
            </w:r>
          </w:p>
        </w:tc>
        <w:tc>
          <w:p>
            <w:r>
              <w:t xml:space="preserve">Pluses</w:t>
            </w:r>
          </w:p>
        </w:tc>
        <w:tc>
          <w:p>
            <w:r>
              <w:t xml:space="preserve">Minuses</w:t>
            </w:r>
          </w:p>
        </w:tc>
        <w:tc>
          <w:p>
            <w:r>
              <w:t xml:space="preserve">Timing</w:t>
            </w:r>
          </w:p>
        </w:tc>
        <w:tc>
          <w:p>
            <w:r>
              <w:t xml:space="preserve">Difficulty</w:t>
            </w:r>
          </w:p>
        </w:tc>
      </w:tr>
      <w:tr>
        <w:trPr>
          <w:tblHeader/>
        </w:trPr>
        <w:tc>
          <w:p>
            <w:r>
              <w:t xml:space="preserve">Endowment</w:t>
            </w:r>
          </w:p>
        </w:tc>
        <w:tc>
          <w:p>
            <w:r>
              <w:t xml:space="preserve">Steady income from principal</w:t>
            </w:r>
          </w:p>
        </w:tc>
        <w:tc>
          <w:p>
            <w:r>
              <w:t xml:space="preserve">Need significant amounts to generate income</w:t>
            </w:r>
          </w:p>
        </w:tc>
        <w:tc>
          <w:p>
            <w:r>
              <w:t xml:space="preserve">May take a long time to build principal</w:t>
            </w:r>
          </w:p>
        </w:tc>
        <w:tc>
          <w:p>
            <w:r>
              <w:t xml:space="preserve">5</w:t>
            </w:r>
          </w:p>
        </w:tc>
      </w:tr>
      <w:tr>
        <w:trPr>
          <w:tblHeader/>
        </w:trPr>
        <w:tc>
          <w:p>
            <w:r>
              <w:t xml:space="preserve">Individual Contributions</w:t>
            </w:r>
          </w:p>
        </w:tc>
        <w:tc>
          <w:p>
            <w:r>
              <w:t xml:space="preserve">Unrestricted funding</w:t>
            </w:r>
          </w:p>
        </w:tc>
        <w:tc>
          <w:p>
            <w:r>
              <w:t xml:space="preserve">Much time to manage individual contributions</w:t>
            </w:r>
          </w:p>
        </w:tc>
        <w:tc>
          <w:p>
            <w:r>
              <w:t xml:space="preserve">Instant</w:t>
            </w:r>
          </w:p>
        </w:tc>
        <w:tc>
          <w:p>
            <w:r>
              <w:t xml:space="preserve">1</w:t>
            </w:r>
          </w:p>
        </w:tc>
      </w:tr>
      <w:tr>
        <w:trPr>
          <w:tblHeader/>
        </w:trPr>
        <w:tc>
          <w:p>
            <w:r>
              <w:t xml:space="preserve">Public Grants</w:t>
            </w:r>
          </w:p>
        </w:tc>
        <w:tc>
          <w:p>
            <w:r>
              <w:t xml:space="preserve">Access to large amounts of money</w:t>
            </w:r>
          </w:p>
        </w:tc>
        <w:tc>
          <w:p>
            <w:r>
              <w:t xml:space="preserve">Reimbursable, administration costs can be high, stiff competition, cyclic</w:t>
            </w:r>
          </w:p>
        </w:tc>
        <w:tc>
          <w:p>
            <w:r>
              <w:t xml:space="preserve">Public grants may take a long time from proposal to contract execution</w:t>
            </w:r>
          </w:p>
        </w:tc>
        <w:tc>
          <w:p>
            <w:r>
              <w:t xml:space="preserve">3</w:t>
            </w:r>
          </w:p>
        </w:tc>
      </w:tr>
      <w:tr>
        <w:trPr>
          <w:tblHeader/>
        </w:trPr>
        <w:tc>
          <w:p>
            <w:r>
              <w:t xml:space="preserve">Private Grants</w:t>
            </w:r>
          </w:p>
        </w:tc>
        <w:tc>
          <w:p>
            <w:r>
              <w:t xml:space="preserve">Often include unrestricted funding</w:t>
            </w:r>
          </w:p>
        </w:tc>
        <w:tc>
          <w:p>
            <w:r>
              <w:t xml:space="preserve">Dependent on relationships with program officers, board members</w:t>
            </w:r>
          </w:p>
        </w:tc>
        <w:tc>
          <w:p>
            <w:r>
              <w:t xml:space="preserve">Lengthy time for relationship building</w:t>
            </w:r>
          </w:p>
        </w:tc>
        <w:tc>
          <w:p>
            <w:r>
              <w:t xml:space="preserve">2</w:t>
            </w:r>
          </w:p>
        </w:tc>
      </w:tr>
      <w:tr>
        <w:trPr>
          <w:tblHeader/>
        </w:trPr>
        <w:tc>
          <w:p>
            <w:r>
              <w:t xml:space="preserve">Fee-for-Service</w:t>
            </w:r>
          </w:p>
        </w:tc>
        <w:tc>
          <w:p>
            <w:r>
              <w:t xml:space="preserve">Steady income based on capacity and experience for services</w:t>
            </w:r>
          </w:p>
        </w:tc>
        <w:tc>
          <w:p>
            <w:r>
              <w:t xml:space="preserve">Staffing, unevenness of demand</w:t>
            </w:r>
          </w:p>
        </w:tc>
        <w:tc>
          <w:p>
            <w:r>
              <w:t xml:space="preserve">Long time to develop and market services</w:t>
            </w:r>
          </w:p>
        </w:tc>
        <w:tc>
          <w:p>
            <w:r>
              <w:t xml:space="preserve">3</w:t>
            </w:r>
          </w:p>
        </w:tc>
      </w:tr>
      <w:tr>
        <w:trPr>
          <w:tblHeader/>
        </w:trPr>
        <w:tc>
          <w:p>
            <w:r>
              <w:t xml:space="preserve">Sort Yard</w:t>
            </w:r>
          </w:p>
        </w:tc>
        <w:tc>
          <w:p>
            <w:r>
              <w:t xml:space="preserve">Steady income, demand for wood high</w:t>
            </w:r>
          </w:p>
        </w:tc>
        <w:tc>
          <w:p>
            <w:r>
              <w:t xml:space="preserve">Transportation costs, management, long-term supply</w:t>
            </w:r>
          </w:p>
        </w:tc>
        <w:tc>
          <w:p>
            <w:r>
              <w:t xml:space="preserve">Permitting and capacity building take time.</w:t>
            </w:r>
          </w:p>
        </w:tc>
        <w:tc>
          <w:p>
            <w:r>
              <w:t xml:space="preserve">4</w:t>
            </w:r>
          </w:p>
        </w:tc>
      </w:tr>
    </w:tbl>
    <w:p>
      <w:r>
        <w:t xml:space="preserve"/>
      </w:r>
    </w:p>
    <w:p>
      <w:pPr>
        <w:pStyle w:val="Heading3"/>
      </w:pPr>
      <w:r>
        <w:t xml:space="preserve">1.2.2	</w:t>
      </w:r>
      <w:r>
        <w:t xml:space="preserve">Endowment Analysis</w:t>
      </w:r>
    </w:p>
    <w:p>
      <w:r>
        <w:t xml:space="preserve">Endowment-based funding represents a promising and underutilized strategy for ensuring the long-term financial sustainability of Joint Powers Authorities (JPAs) engaged in forest health and feedstock aggregation. Unlike grant-dependent models, which are vulnerable to the cyclical nature of public budgets and shifting political priorities, endowments can provide a stable and predictable revenue stream. Endowments may be the most strategic way to fund JPAs, especially since some may struggle to garner grant funding in the future, given their long-term feedstock supply contract focus.</w:t>
      </w:r>
    </w:p>
    <w:p>
      <w:pPr>
        <w:pStyle w:val="Heading4"/>
      </w:pPr>
      <w:r>
        <w:t xml:space="preserve">How it Works</w:t>
      </w:r>
    </w:p>
    <w:p>
      <w:r>
        <w:t xml:space="preserve">By investing a substantial principal—such as an initial gift of $10 million—and supplementing it with modest annual contributions, a JPA can generate consistent income to support core operations, staffing, and potentially even programmatic expansion (</w:t>
      </w:r>
      <w:r>
        <w:t xml:space="preserve">Figure </w:t>
      </w:r>
      <w:r>
        <w:t xml:space="preserve">1.2</w:t>
      </w:r>
      <w:r>
        <w:t xml:space="preserve">). The administrative burden and ongoing costs associated with managing an endowment are typically lower than those required for continuous grant writing and reporting, making this approach attractive for organizations seeking to minimize overhead.</w:t>
      </w:r>
    </w:p>
    <w:p>
      <w:pPr>
        <w:jc w:val="center"/>
      </w:pPr>
      <w:r>
        <w:drawing>
          <wp:inline distT="0" distB="0" distL="0" distR="0">
            <wp:extent cx="4000500" cy="3856038"/>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856038"/>
                    </a:xfrm>
                    <a:prstGeom prst="rect">
                      <a:avLst/>
                    </a:prstGeom>
                  </pic:spPr>
                </pic:pic>
              </a:graphicData>
            </a:graphic>
          </wp:inline>
        </w:drawing>
      </w:r>
    </w:p>
    <w:p>
      <w:pPr>
        <w:pStyle w:val="Caption"/>
      </w:pPr>
      <w:r>
        <w:rPr>
          <w:b/>
          <w:bCs/>
        </w:rPr>
        <w:t xml:space="preserve">Figure </w:t>
      </w:r>
      <w:r>
        <w:rPr>
          <w:b/>
          <w:bCs/>
        </w:rPr>
        <w:t xml:space="preserve">1.2</w:t>
      </w:r>
      <w:r>
        <w:rPr>
          <w:b/>
          <w:bCs/>
        </w:rPr>
        <w:t xml:space="preserve">:</w:t>
      </w:r>
      <w:r>
        <w:t xml:space="preserve"> </w:t>
      </w:r>
      <w:r>
        <w:t xml:space="preserve">Endowment operations and potential earnings over 10 years with a 7% return, 4% annual spending rate, and 0.2% administrative fees. The total return over 10 years is estimated to be 32%. Withdrawals would be from interest earned from the principal. Returns may be lower or higher than 6% so the investment may increase or decrease more or less than the linear increase indicated in the chart. Graphic adapted from </w:t>
      </w:r>
      <w:r>
        <w:t xml:space="preserve">Synchronicity Earth (2025)</w:t>
      </w:r>
      <w:r>
        <w:t xml:space="preserve">.</w:t>
      </w:r>
    </w:p>
    <w:p>
      <w:r>
        <w:br/>
        <w:t xml:space="preserve">Financial calculations demonstrate the power of the initial investment over time compared to annual grants or allocations. With a conservative annual return of 7%, a spending rate of 4%, and an administrative fee of 0.2%, an endowment of $10 mn  could yield approximately $400,000 in its first year, with annual income rising to nearly $448,000 by year 5 (</w:t>
      </w:r>
      <w:r>
        <w:t xml:space="preserve">Table </w:t>
      </w:r>
      <w:r>
        <w:t xml:space="preserve">1.2</w:t>
      </w:r>
      <w:r>
        <w:t xml:space="preserve">). This steady growth not only insulates a JPA from the volatility of state surpluses and deficits but also frames endowment funding as a long-term cost-avoidance strategy for public agencies and private donors alike. By establishing a robust endowment, JPAs can ensure operational continuity, attract and retain skilled staff, and maintain the flexibility needed to respond to emerging challenges in forest management and wildfire mitigation.</w:t>
      </w:r>
    </w:p>
    <w:p>
      <w:r>
        <w:t xml:space="preserve">To calculate the required endowments, we estimated 5-year returns with a 4% annual spending and a modest 7% annual return. A 0.2% administrative fee and an additional $5,000/yr in individual contributions were factored into the return calculations. We set each endowment to the closest $100,000 that created a 5-year return exceeding the estimated 5-year budget created by each pilot team.</w:t>
      </w:r>
    </w:p>
    <w:p>
      <w:pPr>
        <w:pStyle w:val="Caption"/>
      </w:pPr>
      <w:r>
        <w:rPr>
          <w:b/>
          <w:bCs/>
        </w:rPr>
        <w:t xml:space="preserve">Table </w:t>
      </w:r>
      <w:r>
        <w:rPr>
          <w:b/>
          <w:bCs/>
        </w:rPr>
        <w:t xml:space="preserve">1.2</w:t>
      </w:r>
      <w:r>
        <w:rPr>
          <w:b/>
          <w:bCs/>
        </w:rPr>
        <w:t xml:space="preserve">:</w:t>
      </w:r>
      <w:r>
        <w:t xml:space="preserve"> </w:t>
      </w:r>
      <w:r>
        <w:t xml:space="preserve">Endowments based on four pilot JPA annual budget estimates. 5-year budget is an estimate from the respective JPA proponents. Average returns are based on a 7% return with income generated averaged over the 1st five years. An estimated 0.2% administrative fee and $5,000 contribution to the principal are included in the calculations. RRA = Risk Reduction Authority, RFS = Regenerative Forest Solutions.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val="false"/>
        </w:trPr>
        <w:tc>
          <w:p>
            <w:r>
              <w:t xml:space="preserve">JPA</w:t>
            </w:r>
          </w:p>
        </w:tc>
        <w:tc>
          <w:p>
            <w:r>
              <w:t xml:space="preserve">5-yr Budget</w:t>
            </w:r>
          </w:p>
        </w:tc>
        <w:tc>
          <w:p>
            <w:r>
              <w:t xml:space="preserve">Endowment</w:t>
            </w:r>
          </w:p>
        </w:tc>
        <w:tc>
          <w:p>
            <w:r>
              <w:t xml:space="preserve">Avg. Return</w:t>
            </w:r>
          </w:p>
        </w:tc>
        <w:tc>
          <w:p>
            <w:r>
              <w:t xml:space="preserve">5-yr Return</w:t>
            </w:r>
          </w:p>
        </w:tc>
      </w:tr>
      <w:tr>
        <w:trPr>
          <w:tblHeader/>
        </w:trPr>
        <w:tc>
          <w:p>
            <w:r>
              <w:t xml:space="preserve">Tahoe Central Sierra</w:t>
            </w:r>
          </w:p>
        </w:tc>
        <w:tc>
          <w:p>
            <w:r>
              <w:t xml:space="preserve">1,293,750</w:t>
            </w:r>
          </w:p>
        </w:tc>
        <w:tc>
          <w:p>
            <w:r>
              <w:t xml:space="preserve">6,500,000</w:t>
            </w:r>
          </w:p>
        </w:tc>
        <w:tc>
          <w:p>
            <w:r>
              <w:t xml:space="preserve">275,596</w:t>
            </w:r>
          </w:p>
        </w:tc>
        <w:tc>
          <w:p>
            <w:r>
              <w:t xml:space="preserve">1,377,982</w:t>
            </w:r>
          </w:p>
        </w:tc>
      </w:tr>
      <w:tr>
        <w:trPr>
          <w:tblHeader/>
        </w:trPr>
        <w:tc>
          <w:p>
            <w:r>
              <w:t xml:space="preserve">Lake County RRA</w:t>
            </w:r>
          </w:p>
        </w:tc>
        <w:tc>
          <w:p>
            <w:r>
              <w:t xml:space="preserve">1,380,662</w:t>
            </w:r>
          </w:p>
        </w:tc>
        <w:tc>
          <w:p>
            <w:r>
              <w:t xml:space="preserve">6,600,000</w:t>
            </w:r>
          </w:p>
        </w:tc>
        <w:tc>
          <w:p>
            <w:r>
              <w:t xml:space="preserve">279,596</w:t>
            </w:r>
          </w:p>
        </w:tc>
        <w:tc>
          <w:p>
            <w:r>
              <w:t xml:space="preserve">1,399,134</w:t>
            </w:r>
          </w:p>
        </w:tc>
      </w:tr>
      <w:tr>
        <w:trPr>
          <w:tblHeader/>
        </w:trPr>
        <w:tc>
          <w:p>
            <w:r>
              <w:t xml:space="preserve">Northeast CA</w:t>
            </w:r>
          </w:p>
        </w:tc>
        <w:tc>
          <w:p>
            <w:r>
              <w:t xml:space="preserve">2,067,375</w:t>
            </w:r>
          </w:p>
        </w:tc>
        <w:tc>
          <w:p>
            <w:r>
              <w:t xml:space="preserve">10,000,000</w:t>
            </w:r>
          </w:p>
        </w:tc>
        <w:tc>
          <w:p>
            <w:r>
              <w:t xml:space="preserve">423,659</w:t>
            </w:r>
          </w:p>
        </w:tc>
        <w:tc>
          <w:p>
            <w:r>
              <w:t xml:space="preserve">2,118,296</w:t>
            </w:r>
          </w:p>
        </w:tc>
      </w:tr>
      <w:tr>
        <w:trPr>
          <w:tblHeader/>
        </w:trPr>
        <w:tc>
          <w:p>
            <w:r>
              <w:t xml:space="preserve">Sonoma County RFS</w:t>
            </w:r>
          </w:p>
        </w:tc>
        <w:tc>
          <w:p>
            <w:r>
              <w:t xml:space="preserve">3,674,075</w:t>
            </w:r>
          </w:p>
        </w:tc>
        <w:tc>
          <w:p>
            <w:r>
              <w:t xml:space="preserve">17,500,000</w:t>
            </w:r>
          </w:p>
        </w:tc>
        <w:tc>
          <w:p>
            <w:r>
              <w:t xml:space="preserve">740,313</w:t>
            </w:r>
          </w:p>
        </w:tc>
        <w:tc>
          <w:p>
            <w:r>
              <w:t xml:space="preserve">3,701,566</w:t>
            </w:r>
          </w:p>
        </w:tc>
      </w:tr>
      <w:tr>
        <w:trPr>
          <w:tblHeader/>
        </w:trPr>
        <w:tc>
          <w:p>
            <w:r>
              <w:t xml:space="preserve">TOTAL</w:t>
            </w:r>
          </w:p>
        </w:tc>
        <w:tc>
          <w:p>
            <w:r>
              <w:t xml:space="preserve">8,415,862</w:t>
            </w:r>
          </w:p>
        </w:tc>
        <w:tc>
          <w:p>
            <w:r>
              <w:t xml:space="preserve">40,700,000</w:t>
            </w:r>
          </w:p>
        </w:tc>
        <w:tc>
          <w:p>
            <w:r>
              <w:t xml:space="preserve">n/a</w:t>
            </w:r>
          </w:p>
        </w:tc>
        <w:tc>
          <w:p>
            <w:r>
              <w:t xml:space="preserve">8,618,130</w:t>
            </w:r>
          </w:p>
        </w:tc>
      </w:tr>
    </w:tbl>
    <w:p>
      <w:r>
        <w:t xml:space="preserve"/>
      </w:r>
    </w:p>
    <w:p>
      <w:pPr>
        <w:pStyle w:val="Heading4"/>
      </w:pPr>
      <w:r>
        <w:t xml:space="preserve">Avoided Cost Estimate</w:t>
      </w:r>
    </w:p>
    <w:p>
      <w:r>
        <w:t xml:space="preserve">Let’s assume that it would cost $115,000/yr for a state agency to manage a grants program. This includes staff, administrative, and operating costs. We’ve assumed an annual rate of inflation of 4% to give a total five-year cost of $622,877. The 5-year returns are very close to the estimated operating costs of each JPA, so we’ll assume that $8.7 mn is the total amount granted, giving a total cost of 9,322,877. Although the granting agency return on investment is really the public benefit from making the grants for project implementation, these operating costs would provide an ROI of -6.7% (</w:t>
      </w:r>
      <w:r>
        <w:t xml:space="preserve">Table </w:t>
      </w:r>
      <w:r>
        <w:t xml:space="preserve">1.3</w:t>
      </w:r>
      <w:r>
        <w:t xml:space="preserve">) for five years. That ROI would continue to decrease over time, e.g., become more costly for the State, whereas the ROI of 27% for the endowment investment would continue to grow.</w:t>
      </w:r>
    </w:p>
    <w:p>
      <w:pPr>
        <w:pStyle w:val="Caption"/>
      </w:pPr>
      <w:r>
        <w:rPr>
          <w:b/>
          <w:bCs/>
        </w:rPr>
        <w:t xml:space="preserve">Table </w:t>
      </w:r>
      <w:r>
        <w:rPr>
          <w:b/>
          <w:bCs/>
        </w:rPr>
        <w:t xml:space="preserve">1.3</w:t>
      </w:r>
      <w:r>
        <w:rPr>
          <w:b/>
          <w:bCs/>
        </w:rPr>
        <w:t xml:space="preserve">:</w:t>
      </w:r>
      <w:r>
        <w:t xml:space="preserve"> </w:t>
      </w:r>
      <w:r>
        <w:t xml:space="preserve">Avoided cost estimate estimated from the four pilot budgets vs. estimated agency costs to manage grant funds.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Program</w:t>
            </w:r>
          </w:p>
        </w:tc>
        <w:tc>
          <w:p>
            <w:r>
              <w:t xml:space="preserve">Amount</w:t>
            </w:r>
          </w:p>
        </w:tc>
        <w:tc>
          <w:p>
            <w:r>
              <w:t xml:space="preserve">5-year return</w:t>
            </w:r>
          </w:p>
        </w:tc>
        <w:tc>
          <w:p>
            <w:r>
              <w:t xml:space="preserve">ROI (%)</w:t>
            </w:r>
          </w:p>
        </w:tc>
      </w:tr>
      <w:tr>
        <w:trPr>
          <w:tblHeader/>
        </w:trPr>
        <w:tc>
          <w:p>
            <w:r>
              <w:t xml:space="preserve">Endowments</w:t>
            </w:r>
          </w:p>
        </w:tc>
        <w:tc>
          <w:p>
            <w:r>
              <w:t xml:space="preserve">40,700,000</w:t>
            </w:r>
          </w:p>
        </w:tc>
        <w:tc>
          <w:p>
            <w:r>
              <w:t xml:space="preserve">8,618,130</w:t>
            </w:r>
          </w:p>
        </w:tc>
        <w:tc>
          <w:p>
            <w:r>
              <w:t xml:space="preserve">21</w:t>
            </w:r>
          </w:p>
        </w:tc>
      </w:tr>
      <w:tr>
        <w:trPr>
          <w:tblHeader/>
        </w:trPr>
        <w:tc>
          <w:p>
            <w:r>
              <w:t xml:space="preserve">Grants</w:t>
            </w:r>
          </w:p>
        </w:tc>
        <w:tc>
          <w:p>
            <w:r>
              <w:t xml:space="preserve">9,322,877</w:t>
            </w:r>
          </w:p>
        </w:tc>
        <w:tc>
          <w:p>
            <w:r>
              <w:t xml:space="preserve">-8,700,000</w:t>
            </w:r>
          </w:p>
        </w:tc>
        <w:tc>
          <w:p>
            <w:r>
              <w:t xml:space="preserve">-6.7</w:t>
            </w:r>
          </w:p>
        </w:tc>
      </w:tr>
    </w:tbl>
    <w:p>
      <w:r>
        <w:t xml:space="preserve"/>
      </w:r>
    </w:p>
    <w:p>
      <w:pPr>
        <w:pStyle w:val="Heading4"/>
      </w:pPr>
      <w:r>
        <w:t xml:space="preserve">Benefits</w:t>
      </w:r>
    </w:p>
    <w:p>
      <w:r>
        <w:t xml:space="preserve">An innovative approach to multiplying the impact of a JPA’s funding endowment is to allocate a portion of the principal for low-interest loans to forest health operations and wood products businesses.</w:t>
      </w:r>
      <w:r>
        <w:rPr>
          <w:rStyle w:val="FootnoteReference"/>
        </w:rPr>
        <w:footnoteReference w:id="4"/>
      </w:r>
      <w:r>
        <w:t xml:space="preserve"> By acting as a community-based lender, the JPA can support local projects that might otherwise struggle to access affordable capital, accelerating restoration and market development. The interest payments received from these loans can then be reinvested into the endowment, steadily growing the principal over time. This strategy not only amplifies the reach of the original endowment but also creates a self-reinforcing cycle of investment and impact, enhancing both financial sustainability and landscape resilience.</w:t>
      </w:r>
    </w:p>
    <w:p>
      <w:r>
        <w:t xml:space="preserve">Although we don’t have evidence to support this theory, we suspect organizations with a solid endowment will be more competitive for public funding, given their ability to provide a match and solid operating revenue. Established endowments offer a source of unrestricted funds that can be strategically used to meet grant match requirements for state and federal funding opportunities. With a robust endowment, organizations can offer greater match amounts, making their grant applications more competitive and attractive to funders. Additionally, a solid core operating budget supported by endowment income ensures organizational stability and the capacity to manage and implement grant-funded projects effectively.</w:t>
      </w:r>
    </w:p>
    <w:p>
      <w:pPr>
        <w:pStyle w:val="Heading3"/>
      </w:pPr>
      <w:r>
        <w:t xml:space="preserve">1.2.3	</w:t>
      </w:r>
      <w:r>
        <w:t xml:space="preserve">Temporal Adoption</w:t>
      </w:r>
    </w:p>
    <w:p>
      <w:r>
        <w:t xml:space="preserve">Any funding strategies, whether they are traditional or new conservation finance approaches, may be new or untested for certain audiences. Raising funds from traditional resources, then piloting new options over time, may be the best approach to introduce novel income sources. For example:</w:t>
      </w:r>
    </w:p>
    <w:p>
      <w:pPr>
        <w:pStyle w:val="ListParagraph"/>
        <w:numPr>
          <w:ilvl w:val="0"/>
          <w:numId w:val="13"/>
        </w:numPr>
      </w:pPr>
      <w:r>
        <w:t xml:space="preserve">New finance options, such as environmental impact bonds, could be introduced over a longer period and trialed at a small scale, then scaled up when successful. These could also include other financial mechanisms, such as revolving loan funds (offering low-interest loans), public-private partnerships, or bonds.</w:t>
      </w:r>
    </w:p>
    <w:p>
      <w:pPr>
        <w:pStyle w:val="ListParagraph"/>
        <w:numPr>
          <w:ilvl w:val="0"/>
          <w:numId w:val="13"/>
        </w:numPr>
      </w:pPr>
      <w:r>
        <w:t xml:space="preserve">Other revenue-generating options could be tested in the same manner to ensure their effectiveness and introduce them to skeptical participants, financial managers, or government entities that are not used to working with alternative finance options.</w:t>
      </w:r>
    </w:p>
    <w:p>
      <w:pPr>
        <w:pStyle w:val="Heading3"/>
      </w:pPr>
      <w:r>
        <w:t xml:space="preserve">1.2.4	</w:t>
      </w:r>
      <w:r>
        <w:t xml:space="preserve">Collaborative Finance</w:t>
      </w:r>
    </w:p>
    <w:p>
      <w:r>
        <w:t xml:space="preserve">Collaborative finance is a conservation finance strategy that involves cooperative interaction between individual project developers, stakeholders, and finance providers </w:t>
      </w:r>
      <w:r>
        <w:t xml:space="preserve">(</w:t>
      </w:r>
      <w:r>
        <w:t xml:space="preserve">Russell &amp; Odefey, 2024</w:t>
      </w:r>
      <w:r>
        <w:t xml:space="preserve">)</w:t>
      </w:r>
      <w:r>
        <w:t xml:space="preserve">. This process may or may not include traditional financial institutions.</w:t>
      </w:r>
      <w:r>
        <w:rPr>
          <w:rStyle w:val="FootnoteReference"/>
        </w:rPr>
        <w:footnoteReference w:id="5"/>
      </w:r>
      <w:r>
        <w:t xml:space="preserve"> The term can be broadened to include finance developed through the fair and equitable participation of stakeholders in a region, landscape, or watershed, addressing natural resource and infrastructure management needs, and utilizing multiple forms of funding, from public grants to private investment. Finance approaches may include outcomes-based finance models such as environmental impact bonds.</w:t>
      </w:r>
    </w:p>
    <w:p>
      <w:r>
        <w:t xml:space="preserve">The challenge of new finance options vs. more traditional approaches is, simply put, they’re new. As a result, more conservative controllers, accountants, and similar financial managers within any organization will be resistant to implementing new, unproven methods for generating income. Consequently, it may be best to start strong with traditional approaches and gradually test new strategies. Feasibility studies may also help introduce collaborative finance and new approaches. However, there are examples of established and successful impact finance bonds on the North Yuba River to draw upon when creating novel funding streams.</w:t>
      </w:r>
    </w:p>
    <w:p/>
    <w:p>
      <w:pPr>
        <w:pBdr>
          <w:left w:val="double" w:color="5D85D0"/>
        </w:pBdr>
        <w:shd w:color="5D85D0" w:val="solid"/>
        <w:ind w:left="288" w:right="288"/>
      </w:pPr>
      <w:r>
        <w:rPr>
          <w:b/>
          <w:bCs/>
          <w:color w:val="FFFFFF"/>
        </w:rPr>
        <w:t xml:space="preserve">New Funding Options</w:t>
      </w:r>
    </w:p>
    <w:p>
      <w:pPr>
        <w:pBdr>
          <w:left w:val="double" w:color="5D85D0"/>
        </w:pBdr>
        <w:ind w:left="288" w:right="288"/>
      </w:pPr>
      <w:r>
        <w:rPr>
          <w:b/>
          <w:bCs/>
        </w:rPr>
        <w:t xml:space="preserve">New Finance Options</w:t>
      </w:r>
      <w:r>
        <w:t xml:space="preserve">
Conservation finance options include environmental impact bonds, such as Blue Forest’s Forest Resilience Bonds, which leverage private investment from impact investors to support forest health projects. Repayment to investors is supported over time by beneficiaries based on the savings and benefits from reduced wildfire risks and improved ecosystem services. A JPA could utilize environmental impact bonds on a trial basis at a small scale and then expand over an extended period. Identifying potential payor entities interested in covering the avoided costs of wildfire through proactive measures, such as thinning and prescribed fire, is worth pursuing immediately or as soon as an executive director is hired.</w:t>
      </w:r>
    </w:p>
    <w:p>
      <w:pPr>
        <w:pBdr>
          <w:left w:val="double" w:color="5D85D0"/>
        </w:pBdr>
        <w:ind w:left="288" w:right="288"/>
      </w:pPr>
      <w:r>
        <w:t xml:space="preserve">We do not recommend relying solely on impact bonds, as they take a lengthy time to develop and rely on a payor to provide avoided cost funding. However, a bond could be a valuable complementary funding resource to other secured revenues. Other ‘newer’ finance options could include the following:</w:t>
      </w:r>
    </w:p>
    <w:p>
      <w:pPr>
        <w:pBdr>
          <w:left w:val="double" w:color="5D85D0"/>
        </w:pBdr>
        <w:ind w:left="288" w:right="288"/>
      </w:pPr>
      <w:r>
        <w:rPr>
          <w:b/>
          <w:bCs/>
        </w:rPr>
        <w:t xml:space="preserve">Carbon Markets</w:t>
      </w:r>
      <w:r>
        <w:t xml:space="preserve">
Carbon markets offer an opportunity to secure funding for on-the-ground forest management activities, including thinning, pruning, mastication, mechanical treatment, and prescribed burning. Revenue realized through carbon markets could help a JPA to treat more forest land than otherwise possible and generate additional biomass that could be put under supply contracts. Market prices for carbon credits vary depending on a given project’s size, location, treatment type, and the specific carbon market or registry used. Carbon credits can be generated for projects of any size, regardless of their location on federal, state, or private lands. Refer to the Avoided Wildfire Emissions Protocol section below for an alternative approach that is easier to implement than carbon sequestration credits or markets, as the avoided costs are already calculated, and proponents do not need to seek an entity to purchase the credits.</w:t>
      </w:r>
    </w:p>
    <w:p>
      <w:pPr>
        <w:pBdr>
          <w:left w:val="double" w:color="5D85D0"/>
        </w:pBdr>
        <w:ind w:left="288" w:right="288"/>
      </w:pPr>
      <w:r>
        <w:t xml:space="preserve">The National Forest Foundation implemented several voluntary carbon projects in California and the West following wildfires. Funded by corporate donors, the projects created carbon based on the growth trajectories of planted trees. The credits were registered with the American Carbon Registry but were immediately retired upon creation, as trading carbon on public lands is prohibited.</w:t>
      </w:r>
    </w:p>
    <w:p>
      <w:pPr>
        <w:pBdr>
          <w:left w:val="double" w:color="5D85D0"/>
        </w:pBdr>
        <w:ind w:left="288" w:right="288"/>
      </w:pPr>
      <w:r>
        <w:rPr>
          <w:b/>
          <w:bCs/>
        </w:rPr>
        <w:t xml:space="preserve">Avoided Wildfire Emissions</w:t>
      </w:r>
      <w:r>
        <w:t xml:space="preserve">
The Spatial Informatics Group and Element Markets developed a forecast methodology under the Climate Forward program to recognize the climate benefits associated with fuel treatment activities that reduce the risk of catastrophic forest fires and their associated emissions. Known as the Avoided Wildfire Emissions Forecast Methodology, the protocol could provide complementary funding for thinning and prescribed fire projects, in addition to grants and private investments. The Protocol differs from carbon offsets in that forecasted mitigation units (FMUs) are issued for forecasted reductions or removals of greenhouse gases. FMUs are used to mitigate anticipated future emissions, such as wildfires. This methodology, however, uses outdated allometric equations to calculate changes to forests and does not model fire or climate. Verra’s </w:t>
      </w:r>
      <w:hyperlink w:history="1" r:id="rIdhir5t89dyflsp8oeh4du_">
        <w:r>
          <w:rPr>
            <w:rStyle w:val="Hyperlink"/>
          </w:rPr>
          <w:t xml:space="preserve">Methodology</w:t>
        </w:r>
      </w:hyperlink>
      <w:r>
        <w:t xml:space="preserve"> for Avoided Forest Conversion from Decreased Wildfire may be a more accurate approach to tracking treatment impacts on carbon stocks over time.</w:t>
      </w:r>
    </w:p>
    <w:p>
      <w:pPr>
        <w:pBdr>
          <w:left w:val="double" w:color="5D85D0"/>
        </w:pBdr>
        <w:ind w:left="288" w:right="288"/>
      </w:pPr>
      <w:r>
        <w:rPr>
          <w:b/>
          <w:bCs/>
        </w:rPr>
        <w:t xml:space="preserve">Embodied Carbon</w:t>
      </w:r>
      <w:r>
        <w:t xml:space="preserve">
Although it may be several years from implementation, developing and marketing low-carbon building materials is another new opportunity. Buildings are a significant source of greenhouse gas emissions, making building decarbonization a California state priority. Embodied carbon is the lifecycle of greenhouse gas emissions from creating, transporting, and disposing of building materials (Carbon Leadership Forum, 2022). In other words, embodied carbon is any building’s carbon footprint contained in its building materials. It differs from operational carbon, the carbon produced by a building’s energy, heat, and lighting. The California Air Resources Board is developing a comprehensive strategy for embodied carbon and is seeking comments following the signing of ABs 2446 and 43.</w:t>
      </w:r>
    </w:p>
    <w:p>
      <w:pPr>
        <w:pBdr>
          <w:left w:val="double" w:color="5D85D0"/>
        </w:pBdr>
        <w:ind w:left="288" w:right="288"/>
      </w:pPr>
      <w:r>
        <w:rPr>
          <w:b/>
          <w:bCs/>
        </w:rPr>
        <w:t xml:space="preserve">Revolving Loan Funds</w:t>
      </w:r>
      <w:r>
        <w:t xml:space="preserve">
Pooled funding sources, such as impact bonds or revolving loan funds, can help make a greater amount of funds available to more projects across a landscape. Typically offered at lower-than-market interest rates, revolving loan funds are self-replenishing pools of money that utilize principal and interest payments on existing loans to issue new loans. They have been used effectively on both small and large scales to develop businesses, support healthcare, and improve environmental outcomes. Revolving loan funds also provide much-needed upfront capital for project startups. They are flexible and can be used in conjunction with more conventional funds, such as grants and loans.</w:t>
      </w:r>
    </w:p>
    <w:p>
      <w:pPr>
        <w:pBdr>
          <w:left w:val="double" w:color="5D85D0"/>
        </w:pBdr>
        <w:ind w:left="288" w:right="288"/>
      </w:pPr>
      <w:r>
        <w:t xml:space="preserve">For example, through a coalition of public and private partners, the Southwest Wildfire Impact Fund aims to utilize resources from private investors and revenues generated from biomass produced through forest thinning to offset the financial burden of wildfire mitigation in the San Juan National Forest’s wildland-urban interface. The project fosters regional collaboration through shared project financing and implementation. It also creates the opportunity for scaling up forest treatments and fire reduction by creating a revolving loan fund that reinvests proceeds into additional projects, ensuring that capital is available for long-term re-treatment and expansion of forest health interventions.</w:t>
      </w:r>
    </w:p>
    <w:p>
      <w:pPr>
        <w:pBdr>
          <w:left w:val="double" w:color="5D85D0"/>
        </w:pBdr>
        <w:ind w:left="288" w:right="288"/>
      </w:pPr>
      <w:r>
        <w:t xml:space="preserve">Blue Forest is operating a revolving loan fund called the California Wildfire Innovation Fund, which could expand into broader support for other forest health entities.</w:t>
      </w:r>
    </w:p>
    <w:p>
      <w:pPr>
        <w:pBdr>
          <w:left w:val="double" w:color="5D85D0"/>
        </w:pBdr>
        <w:ind w:left="288" w:right="288"/>
      </w:pPr>
      <w:r>
        <w:rPr>
          <w:b/>
          <w:bCs/>
        </w:rPr>
        <w:t xml:space="preserve">Parametric Insurance</w:t>
      </w:r>
      <w:r>
        <w:t xml:space="preserve">
Parametric or index-based insurance covers the probability of a predefined event, rather than indemnifying the actual loss incurred </w:t>
      </w:r>
      <w:r>
        <w:t xml:space="preserve">(</w:t>
      </w:r>
      <w:r>
        <w:t xml:space="preserve">Re, 2023</w:t>
      </w:r>
      <w:r>
        <w:t xml:space="preserve">)</w:t>
      </w:r>
      <w:r>
        <w:t xml:space="preserve">. These so-called trigger events are typically disaster-related (e.g., wildfires, flooding, hurricanes, earthquakes). They are measured through triggers such as wind speed, earthquake magnitude, acres burned, burn severity, or rainfall amount. Insurable triggers are modeled and must happen by chance. When the triggers are reached, a predetermined payout is made regardless of the sustained physical losses. Parametric insurance is meant to complement existing indemnity insurance but is increasingly used for post-disaster restoration funding in the natural world.</w:t>
      </w:r>
    </w:p>
    <w:p>
      <w:pPr>
        <w:pBdr>
          <w:left w:val="double" w:color="5D85D0"/>
        </w:pBdr>
        <w:ind w:left="288" w:right="288"/>
      </w:pPr>
      <w:r>
        <w:t xml:space="preserve">One of the earliest examples of parametric insurance used for nature recovery is the Mesoamerican Reef parametric insurance that provided $800,000 for reef restoration following Hurricane Delta. The trigger was windspeed with a parameter greater than 100 knots. The funds originated from the </w:t>
      </w:r>
      <w:hyperlink w:history="1" r:id="rIdebh02ezesfwpcadziejb5">
        <w:r>
          <w:rPr>
            <w:rStyle w:val="Hyperlink"/>
          </w:rPr>
          <w:t xml:space="preserve">Coastal Zone Management Trust</w:t>
        </w:r>
      </w:hyperlink>
      <w:r>
        <w:t xml:space="preserve">. Utilizing insurance to protect forests and communities, likely through wildfire risk mitigation, could be a novel approach to funding activities throughout the region and provide complementary funds that could be particularly valuable post-fire.</w:t>
      </w:r>
    </w:p>
    <w:p>
      <w:pPr>
        <w:pBdr>
          <w:left w:val="double" w:color="5D85D0"/>
        </w:pBdr>
        <w:ind w:left="288" w:right="288"/>
      </w:pPr>
      <w:r>
        <w:rPr>
          <w:b/>
          <w:bCs/>
        </w:rPr>
        <w:t xml:space="preserve">Tech-based Solutions</w:t>
      </w:r>
      <w:r>
        <w:t xml:space="preserve">
The technology could help connect funders to a new JPA. Blockchain and digital solutions have mostly been applied to reforestation and carbon sequestration projects. It may be possible to establish a digital marketplace where funders and implementers can connect and collaborate on implementing forest health restoration and infrastructure projects. Developing a platform for aggregated funding could be part of a funded project or developed in tandem rather than as a standalone initiative.</w:t>
      </w:r>
    </w:p>
    <w:p/>
    <w:p>
      <w:pPr>
        <w:pStyle w:val="Heading2"/>
      </w:pPr>
      <w:r>
        <w:t xml:space="preserve">1.3	</w:t>
      </w:r>
      <w:r>
        <w:t xml:space="preserve">Budget</w:t>
      </w:r>
    </w:p>
    <w:p>
      <w:r>
        <w:t xml:space="preserve">Rough estimates for JPA creation in California for 2025 range from a bare bones budget of approximately $400,000/year to a more “inflation-proof” budget of $2-3 million/year for startup and sustainable implementation over time.</w:t>
      </w:r>
      <w:r>
        <w:rPr>
          <w:rStyle w:val="FootnoteReference"/>
        </w:rPr>
        <w:footnoteReference w:id="3"/>
      </w:r>
    </w:p>
    <w:p>
      <w:pPr>
        <w:pStyle w:val="Heading3"/>
      </w:pPr>
      <w:r>
        <w:t xml:space="preserve">1.3.1	</w:t>
      </w:r>
      <w:r>
        <w:t xml:space="preserve">Revenue</w:t>
      </w:r>
    </w:p>
    <w:p>
      <w:r>
        <w:t xml:space="preserve">Revenue may come from a variety of sources such as grants, donations, and fee-for-service consulting. Contributions and gifts may come from local to regional foundations and corporations interested in forest health. Individual contributions always have the potential to add up to more than foundation and corporate gifts, as they are the largest charitable giving category in the United States. However, they require more time to manage. Creating a time-bound campaign with a specific fundraising goal replete with a thermometer to track progress could be a great way to involve communities in a region through giving and engaging them in the need for a JPA to ultimately mitigate wildfire threats.</w:t>
      </w:r>
    </w:p>
    <w:p>
      <w:r>
        <w:t xml:space="preserve">In the case of pilot projects supported by the Governor’s Office of Land Use and Climate Innovation, a tranche of endowment-like funding is being provided for startup funding of aggregation entities. In some cases, this amount is as much as $1 million, which, along with a capital campaign to bolster individual giving and create awareness around a JPA, could create a base endowment and provide stable operational revenue to a new organization from the principal if the endowment funds are wisely invested.</w:t>
      </w:r>
    </w:p>
    <w:p>
      <w:r>
        <w:t xml:space="preserve">Although not competing for grants with RCDs, a JPA may help administer a large grant across multiple RCDs to leverage more funds across a region. With the devolution of some state funding sources, this could be a great option for managing regional funds and reducing competition for funding resources, as the grants are allocated to local organizations.</w:t>
      </w:r>
    </w:p>
    <w:p/>
    <w:p>
      <w:pPr>
        <w:pBdr>
          <w:left w:val="double" w:color="5D85D0"/>
        </w:pBdr>
        <w:shd w:color="5D85D0" w:val="solid"/>
        <w:ind w:left="288" w:right="288"/>
      </w:pPr>
      <w:r>
        <w:rPr>
          <w:b/>
          <w:bCs/>
          <w:color w:val="FFFFFF"/>
        </w:rPr>
        <w:t xml:space="preserve">JPA - RCD competition</w:t>
      </w:r>
    </w:p>
    <w:p>
      <w:pPr>
        <w:pBdr>
          <w:left w:val="double" w:color="5D85D0"/>
        </w:pBdr>
        <w:ind w:left="288" w:right="288"/>
      </w:pPr>
      <w:r>
        <w:t xml:space="preserve">Evaluating whether to form a new governmental entity or organization is an important consideration for feedstock aggregation. Working with existing organizations, such as Resource Conservation Districts or Fire Safe Councils, would be a good starting point. It is critical to incorporate into the JPA’s bylaws and revenue-generating practices that grant fundraising does not compete with RCDs. It is possible a JPA may collaborate on a grant with one or more RCDs, but should never submit grants for which an RCD is eligible.</w:t>
      </w:r>
    </w:p>
    <w:p/>
    <w:p>
      <w:r>
        <w:t xml:space="preserve">Contingency funding should be written into the budget expenses. Adding 10-15% contingency line items to any secured grant would supplement that funding; however, most grant funding contingencies are typically applied to budget shortfalls. Other contingency funding sources could include unrestricted funding (such as contributions or gifts) and a higher indirect rate.</w:t>
      </w:r>
    </w:p>
    <w:p>
      <w:pPr>
        <w:pStyle w:val="Heading3"/>
      </w:pPr>
      <w:r>
        <w:t xml:space="preserve">1.3.2	</w:t>
      </w:r>
      <w:r>
        <w:t xml:space="preserve">Expenses</w:t>
      </w:r>
    </w:p>
    <w:p>
      <w:r>
        <w:t xml:space="preserve">An annual expense budget of ~$ $400,000-2 million is estimated for a JPA startup. The total expenses/year could slowly ramp up each year of the budget, with the idea that additional secured revenue would enable a JPA to bring on more staff capacity, increase offerings, reach, or fee-for-service activities, or undertake additional revenue generation activities. The bulk of the expenses is for labor and staff, although some JPAs operate completely through contracted staff.</w:t>
      </w:r>
    </w:p>
    <w:p>
      <w:r>
        <w:t xml:space="preserve">Other expenses may include operations and maintenance, audit and legal fees, LAFCO filing, bylaw creation, insurance, equipment, software, travel, bank fees, communications, website development, outreach, and other related expenses.</w:t>
      </w:r>
    </w:p>
    <w:p>
      <w:pPr>
        <w:pStyle w:val="Heading2"/>
      </w:pPr>
      <w:r>
        <w:t xml:space="preserve">1.4	</w:t>
      </w:r>
      <w:r>
        <w:t xml:space="preserve">Recommendations</w:t>
      </w:r>
    </w:p>
    <w:p>
      <w:r>
        <w:t xml:space="preserve">Funding JPAs is not a simple task, as most public funding sources are focused on project implementation, e.g., funding restoration projects in the field, rather than providing administrative support or organizational startup. Some foundations fund this type of work, but accessing those funds can be challenging. Another challenge is competing with existing entities for scarce local, regional, and federal resources. The following are recommendations to consider when examining the feasibility of building and maintaining a JPA for long-term feedstock agreements:</w:t>
      </w:r>
    </w:p>
    <w:p>
      <w:pPr>
        <w:pStyle w:val="ListParagraph"/>
        <w:numPr>
          <w:ilvl w:val="0"/>
          <w:numId w:val="14"/>
        </w:numPr>
      </w:pPr>
      <w:r>
        <w:rPr>
          <w:b/>
          <w:bCs/>
        </w:rPr>
        <w:t xml:space="preserve">Utilize public funds for startup and traditional projects</w:t>
      </w:r>
      <w:r>
        <w:t xml:space="preserve">. Public funding is readily available and generally suitable for trials or the initial development of feasible but new ideas.</w:t>
      </w:r>
    </w:p>
    <w:p>
      <w:pPr>
        <w:pStyle w:val="ListParagraph"/>
        <w:numPr>
          <w:ilvl w:val="0"/>
          <w:numId w:val="14"/>
        </w:numPr>
      </w:pPr>
      <w:r>
        <w:rPr>
          <w:b/>
          <w:bCs/>
        </w:rPr>
        <w:t xml:space="preserve">Pilot non-traditional, higher risk, or new revenue sources</w:t>
      </w:r>
      <w:r>
        <w:t xml:space="preserve">. Then, ramp them up with success, and participating entities and partners see their value and understand how they work.</w:t>
      </w:r>
    </w:p>
    <w:p>
      <w:pPr>
        <w:pStyle w:val="ListParagraph"/>
        <w:numPr>
          <w:ilvl w:val="0"/>
          <w:numId w:val="14"/>
        </w:numPr>
      </w:pPr>
      <w:r>
        <w:rPr>
          <w:b/>
          <w:bCs/>
        </w:rPr>
        <w:t xml:space="preserve">Co-house staff and resources</w:t>
      </w:r>
      <w:r>
        <w:t xml:space="preserve">. Utilize existing offices and share staff and other resources as capacity and funding allow. This is particularly important during the startup and early phases of developing a JPA.</w:t>
      </w:r>
    </w:p>
    <w:p>
      <w:pPr>
        <w:pStyle w:val="ListParagraph"/>
        <w:numPr>
          <w:ilvl w:val="0"/>
          <w:numId w:val="14"/>
        </w:numPr>
      </w:pPr>
      <w:r>
        <w:rPr>
          <w:b/>
          <w:bCs/>
        </w:rPr>
        <w:t xml:space="preserve">Leverage public funds with private investment</w:t>
      </w:r>
      <w:r>
        <w:t xml:space="preserve">. When public funds are secured, immediately work to leverage them with other public and private funding resources. Don’t wait until near the end of the grant cycle to look for additional funds.</w:t>
      </w:r>
    </w:p>
    <w:p>
      <w:pPr>
        <w:pStyle w:val="ListParagraph"/>
        <w:numPr>
          <w:ilvl w:val="0"/>
          <w:numId w:val="14"/>
        </w:numPr>
      </w:pPr>
      <w:r>
        <w:rPr>
          <w:b/>
          <w:bCs/>
        </w:rPr>
        <w:t xml:space="preserve">Use the right revenue source</w:t>
      </w:r>
      <w:r>
        <w:t xml:space="preserve">. Property and sales tax increases are more effective in populated areas with higher incomes; however, they are usually not appropriate for rural areas, where the tax base and population tend to be too low to provide sufficient funding.</w:t>
      </w:r>
    </w:p>
    <w:p>
      <w:pPr>
        <w:pStyle w:val="Heading2"/>
      </w:pPr>
      <w:r>
        <w:t xml:space="preserve">1.5	</w:t>
      </w:r>
      <w:r>
        <w:t xml:space="preserve">Acknowledgements</w:t>
      </w:r>
    </w:p>
    <w:p>
      <w:r>
        <w:t xml:space="preserve">A special thank you to Joshua Harrison, Center for the Study of the Force Majeure, and Temra Costa, Forestree Collective, for reviewing the draft manuscript. Thank you to the entire CAL FRAME team for ideas, edits, and development of the CAL FRAME report to the Office of Land Use and Climate Innovation. Eternal gratitude to Jeff Odefey, One Water Alliance, for helping to develop the initial ideas for this manuscript.</w:t>
      </w:r>
    </w:p>
    <w:p>
      <w:pPr>
        <w:pStyle w:val="Heading2"/>
      </w:pPr>
      <w:r>
        <w:t xml:space="preserve">References</w:t>
      </w:r>
    </w:p>
    <w:p>
      <w:r>
        <w:rPr>
          <w:i/>
          <w:iCs/>
        </w:rPr>
        <w:t xml:space="preserve">Endowments</w:t>
      </w:r>
      <w:r>
        <w:t xml:space="preserve">. (2025). Synchronicity Earth. </w:t>
      </w:r>
      <w:hyperlink w:history="1" r:id="rIdhyd3vvqki9zzfmrezryau">
        <w:r>
          <w:rPr>
            <w:rStyle w:val="Hyperlink"/>
          </w:rPr>
          <w:t xml:space="preserve">https://shorter.gg/AKrVQs</w:t>
        </w:r>
      </w:hyperlink>
      <w:r>
        <w:t xml:space="preserve">Barker, J., Voorhis, J., &amp; Crotty, S. M. (2025). Assessing costs and constraints of forest residue disposal by pile burning. </w:t>
      </w:r>
      <w:r>
        <w:rPr>
          <w:i/>
          <w:iCs/>
        </w:rPr>
        <w:t xml:space="preserve">Frontiers in Forests and Global Change</w:t>
      </w:r>
      <w:r>
        <w:t xml:space="preserve">, </w:t>
      </w:r>
      <w:r>
        <w:rPr>
          <w:i/>
          <w:iCs/>
        </w:rPr>
        <w:t xml:space="preserve">7</w:t>
      </w:r>
      <w:r>
        <w:t xml:space="preserve">. </w:t>
      </w:r>
      <w:hyperlink w:history="1" r:id="rIdi_udoahcvklhdnwy9lpul">
        <w:r>
          <w:rPr>
            <w:rStyle w:val="Hyperlink"/>
          </w:rPr>
          <w:t xml:space="preserve">10.3389/ffgc.2024.1496190</w:t>
        </w:r>
      </w:hyperlink>
      <w:r>
        <w:t xml:space="preserve">Becker, D. R., McCaffrey, S. M., Abbas, D., Halvorsen, K. E., Jakes, P., &amp; Moseley, C. (2011). Conventional wisdoms of woody biomass utilization on federal public lands. </w:t>
      </w:r>
      <w:r>
        <w:rPr>
          <w:i/>
          <w:iCs/>
        </w:rPr>
        <w:t xml:space="preserve">Journal of Forestry</w:t>
      </w:r>
      <w:r>
        <w:t xml:space="preserve">, </w:t>
      </w:r>
      <w:r>
        <w:rPr>
          <w:i/>
          <w:iCs/>
        </w:rPr>
        <w:t xml:space="preserve">109</w:t>
      </w:r>
      <w:r>
        <w:t xml:space="preserve">(4), 208–218. </w:t>
      </w:r>
      <w:hyperlink w:history="1" r:id="rIdimlzuqkvjcq-csjaazyc5">
        <w:r>
          <w:rPr>
            <w:rStyle w:val="Hyperlink"/>
          </w:rPr>
          <w:t xml:space="preserve">10.1093/jof/109.4.208</w:t>
        </w:r>
      </w:hyperlink>
      <w:r>
        <w:t xml:space="preserve">Bohlman, G. N., Safford, H. D., &amp; Skinner, C. N. (2021). Natural range of variation for yellow pine and mixed-conifer forests in northwestern California and southwestern Oregon. </w:t>
      </w:r>
      <w:r>
        <w:rPr>
          <w:i/>
          <w:iCs/>
        </w:rPr>
        <w:t xml:space="preserve">Gen. Tech. Rep. PSW-GTR-273. Albany, CA: US Department of Agriculture, Forest Service, Pacific Southwest Research Station. 146 p.</w:t>
      </w:r>
      <w:r>
        <w:t xml:space="preserve">, </w:t>
      </w:r>
      <w:r>
        <w:rPr>
          <w:i/>
          <w:iCs/>
        </w:rPr>
        <w:t xml:space="preserve">273</w:t>
      </w:r>
      <w:r>
        <w:t xml:space="preserve">.</w:t>
      </w:r>
      <w:r>
        <w:t xml:space="preserve">Carroll, C., Noon, B. R., Masino, S. A., &amp; Noss, R. F. (2025). Coordinating old-growth conservation across scales of space, time, and biodiversity: lessons from the US policy debate. </w:t>
      </w:r>
      <w:r>
        <w:rPr>
          <w:i/>
          <w:iCs/>
        </w:rPr>
        <w:t xml:space="preserve">Frontiers in Forests and Global Change</w:t>
      </w:r>
      <w:r>
        <w:t xml:space="preserve">, </w:t>
      </w:r>
      <w:r>
        <w:rPr>
          <w:i/>
          <w:iCs/>
        </w:rPr>
        <w:t xml:space="preserve">8</w:t>
      </w:r>
      <w:r>
        <w:t xml:space="preserve">. </w:t>
      </w:r>
      <w:hyperlink w:history="1" r:id="rIdibecqr2w71otxrebn-f3b">
        <w:r>
          <w:rPr>
            <w:rStyle w:val="Hyperlink"/>
          </w:rPr>
          <w:t xml:space="preserve">10.3389/ffgc.2025.1493879</w:t>
        </w:r>
      </w:hyperlink>
      <w:r>
        <w:t xml:space="preserve">Costa, T. (2025). </w:t>
      </w:r>
      <w:r>
        <w:rPr>
          <w:i/>
          <w:iCs/>
        </w:rPr>
        <w:t xml:space="preserve">Assessing the viability of wood recovery and utilization in Sonoma County</w:t>
      </w:r>
      <w:r>
        <w:t xml:space="preserve">. Regenerative Forest Solutions. </w:t>
      </w:r>
      <w:hyperlink w:history="1" r:id="rId9lvk1adit1v42rrpizqd_">
        <w:r>
          <w:rPr>
            <w:rStyle w:val="Hyperlink"/>
          </w:rPr>
          <w:t xml:space="preserve">https://www.regenerativeforestsolutions.org/resourcesandreports/full-study-assessing-the-viability-of-wood-recovery-and-utilization-in-sonoma-county</w:t>
        </w:r>
      </w:hyperlink>
      <w:r>
        <w:t xml:space="preserve">CSG. (2020). </w:t>
      </w:r>
      <w:r>
        <w:rPr>
          <w:i/>
          <w:iCs/>
        </w:rPr>
        <w:t xml:space="preserve">Forest resilience authorities (FRAs): How regional wood waste management can support forest health and economic development goals in California</w:t>
      </w:r>
      <w:r>
        <w:t xml:space="preserve">. Conservation Strategy Group. </w:t>
      </w:r>
      <w:hyperlink w:history="1" r:id="rIda9uwqmliu0tzyt21wimjl">
        <w:r>
          <w:rPr>
            <w:rStyle w:val="Hyperlink"/>
          </w:rPr>
          <w:t xml:space="preserve">https://drive.google.com/file/d/1wPsETRE7AewydAGzFuuZoFvQkKNaFh6r/view</w:t>
        </w:r>
      </w:hyperlink>
      <w:r>
        <w:t xml:space="preserve">Cypher, T., &amp; Grinnell, C. (2007). </w:t>
      </w:r>
      <w:r>
        <w:rPr>
          <w:i/>
          <w:iCs/>
        </w:rPr>
        <w:t xml:space="preserve">Governments working together: A citizen’s guide to joint powers agreements</w:t>
      </w:r>
      <w:r>
        <w:t xml:space="preserve">. Senate Local Government Committee. </w:t>
      </w:r>
      <w:hyperlink w:history="1" r:id="rIdl5ui2z3jffr3ji3eqnbaz">
        <w:r>
          <w:rPr>
            <w:rStyle w:val="Hyperlink"/>
          </w:rPr>
          <w:t xml:space="preserve">https://sgf.senate.ca.gov/sites/sgf.senate.ca.gov/files/GWTFinalversion2.pdf</w:t>
        </w:r>
      </w:hyperlink>
      <w:r>
        <w:t xml:space="preserve">Darlington, C. (2025). </w:t>
      </w:r>
      <w:r>
        <w:rPr>
          <w:i/>
          <w:iCs/>
        </w:rPr>
        <w:t xml:space="preserve">Local agency forest biomass market enhancement strategies and action July 10 presentation to Joint Institute for Wood Products Innovation AC Meeting</w:t>
      </w:r>
      <w:r>
        <w:t xml:space="preserve">.</w:t>
      </w:r>
      <w:r>
        <w:t xml:space="preserve">Darlington, C., &amp; Stevenson, C. (2023). </w:t>
      </w:r>
      <w:r>
        <w:rPr>
          <w:i/>
          <w:iCs/>
        </w:rPr>
        <w:t xml:space="preserve">Joint Powers Authorities: A tool to manage forest biomass residuals in California</w:t>
      </w:r>
      <w:r>
        <w:t xml:space="preserve">. CLERE, Inc. </w:t>
      </w:r>
      <w:hyperlink w:history="1" r:id="rIdbtlkcwsrwcds5xtpxcunc">
        <w:r>
          <w:rPr>
            <w:rStyle w:val="Hyperlink"/>
          </w:rPr>
          <w:t xml:space="preserve">https://bof.fire.ca.gov/media/sbvcxfiy/cal-frame-jpa-noreast-opr-pilot_final-may122023.pdf</w:t>
        </w:r>
      </w:hyperlink>
      <w:r>
        <w:t xml:space="preserve">Darlington, C., Moghaddas, Jason, &amp; Fanslow, G. (2023). </w:t>
      </w:r>
      <w:r>
        <w:rPr>
          <w:i/>
          <w:iCs/>
        </w:rPr>
        <w:t xml:space="preserve">California forest biomass pile data collection</w:t>
      </w:r>
      <w:r>
        <w:t xml:space="preserve">. Joint Institute for Wood Products Innovation. </w:t>
      </w:r>
      <w:hyperlink w:history="1" r:id="rIdpri-3_rzauf7ta2dohjy8">
        <w:r>
          <w:rPr>
            <w:rStyle w:val="Hyperlink"/>
          </w:rPr>
          <w:t xml:space="preserve">https://bof.fire.ca.gov/media/0t1f0oqa/full-12-b-i-ca-forest-biomass-pile-data-collection-report-draft_part-1__11-8-23-adamfk.pdf</w:t>
        </w:r>
      </w:hyperlink>
      <w:r>
        <w:t xml:space="preserve">de Sousa Mills, P. (2016). </w:t>
      </w:r>
      <w:r>
        <w:rPr>
          <w:i/>
          <w:iCs/>
        </w:rPr>
        <w:t xml:space="preserve">The ins and outs of joint powers authorities in California</w:t>
      </w:r>
      <w:r>
        <w:t xml:space="preserve">. </w:t>
      </w:r>
      <w:hyperlink w:history="1" r:id="rIdtdtyfl9gtypx0ndb-o5fl">
        <w:r>
          <w:rPr>
            <w:rStyle w:val="Hyperlink"/>
          </w:rPr>
          <w:t xml:space="preserve">https://bbklaw.com/resources/the-ins-and-outs-of-joint-powers-authorities-in-california</w:t>
        </w:r>
      </w:hyperlink>
      <w:r>
        <w:t xml:space="preserve">DellaSala, D. A., Mackey, B., Norman, P., Campbell, C., Comer, P. J., Kormos, C. F., Keith, H., &amp; Rogers, B. (2022). Mature and old-growth forests contribute to large-scale conservation targets in the conterminous United States. </w:t>
      </w:r>
      <w:r>
        <w:rPr>
          <w:i/>
          <w:iCs/>
        </w:rPr>
        <w:t xml:space="preserve">Frontiers in Forests and Global Change</w:t>
      </w:r>
      <w:r>
        <w:t xml:space="preserve">, </w:t>
      </w:r>
      <w:r>
        <w:rPr>
          <w:i/>
          <w:iCs/>
        </w:rPr>
        <w:t xml:space="preserve">5</w:t>
      </w:r>
      <w:r>
        <w:t xml:space="preserve">. </w:t>
      </w:r>
      <w:hyperlink w:history="1" r:id="rIdtnufsgbvaoea4kpooetnp">
        <w:r>
          <w:rPr>
            <w:rStyle w:val="Hyperlink"/>
          </w:rPr>
          <w:t xml:space="preserve">10.3389/ffgc.2022.979528</w:t>
        </w:r>
      </w:hyperlink>
      <w:r>
        <w:t xml:space="preserve">Hagmann, R. K., Hessburg, P. F., Prichard, S. J., Povak, N. A., Brown, P. M., Fulé, P. Z., Keane, R. E., Knapp, E. E., Lydersen, J. M., Metlen, K. L., Reilly, M. J., Sánchez Meador, A. J., Stephens, S. L., Stevens, J. T., Taylor, A. H., Yocom, L. L., Battaglia, M. A., Churchill, D. J., Daniels, L. D., … Waltz, A. E. M. (2021). Evidence for widespread changes in the structure, composition, and fire regimes of western North American forests. </w:t>
      </w:r>
      <w:r>
        <w:rPr>
          <w:i/>
          <w:iCs/>
        </w:rPr>
        <w:t xml:space="preserve">Ecological Applications</w:t>
      </w:r>
      <w:r>
        <w:t xml:space="preserve">, </w:t>
      </w:r>
      <w:r>
        <w:rPr>
          <w:i/>
          <w:iCs/>
        </w:rPr>
        <w:t xml:space="preserve">31</w:t>
      </w:r>
      <w:r>
        <w:t xml:space="preserve">(8). </w:t>
      </w:r>
      <w:hyperlink w:history="1" r:id="rIdos19gm2hs-1uwpppkowx6">
        <w:r>
          <w:rPr>
            <w:rStyle w:val="Hyperlink"/>
          </w:rPr>
          <w:t xml:space="preserve">10.1002/eap.2431</w:t>
        </w:r>
      </w:hyperlink>
      <w:r>
        <w:t xml:space="preserve">Jones, G. M., Vraga, E. K., Hessburg, P. F., Hurteau, M. D., Allen, C. D., Keane, R. E., Spies, T. A., North, M. P., Collins, B. M., Finney, M. A., Lydersen, J. M., &amp; Westerling, A. L. (2022). Counteracting wildfire misinformation. </w:t>
      </w:r>
      <w:r>
        <w:rPr>
          <w:i/>
          <w:iCs/>
        </w:rPr>
        <w:t xml:space="preserve">Frontiers in Ecology and the Environment</w:t>
      </w:r>
      <w:r>
        <w:t xml:space="preserve">, </w:t>
      </w:r>
      <w:r>
        <w:rPr>
          <w:i/>
          <w:iCs/>
        </w:rPr>
        <w:t xml:space="preserve">20</w:t>
      </w:r>
      <w:r>
        <w:t xml:space="preserve">(7), 392–393. </w:t>
      </w:r>
      <w:hyperlink w:history="1" r:id="rIdpez845kpiolicawgljvqd">
        <w:r>
          <w:rPr>
            <w:rStyle w:val="Hyperlink"/>
          </w:rPr>
          <w:t xml:space="preserve">10.1002/fee.2553</w:t>
        </w:r>
      </w:hyperlink>
      <w:r>
        <w:t xml:space="preserve">Keeley, J. E., &amp; Syphard, A. D. (2021). Large California wildfires: 2020 fires in historical context. </w:t>
      </w:r>
      <w:r>
        <w:rPr>
          <w:i/>
          <w:iCs/>
        </w:rPr>
        <w:t xml:space="preserve">Fire Ecology</w:t>
      </w:r>
      <w:r>
        <w:t xml:space="preserve">, </w:t>
      </w:r>
      <w:r>
        <w:rPr>
          <w:i/>
          <w:iCs/>
        </w:rPr>
        <w:t xml:space="preserve">17</w:t>
      </w:r>
      <w:r>
        <w:t xml:space="preserve">(1). </w:t>
      </w:r>
      <w:hyperlink w:history="1" r:id="rIdyk2e-qpykk5vnhpouofcy">
        <w:r>
          <w:rPr>
            <w:rStyle w:val="Hyperlink"/>
          </w:rPr>
          <w:t xml:space="preserve">10.1186/s42408-021-00110-7</w:t>
        </w:r>
      </w:hyperlink>
      <w:r>
        <w:t xml:space="preserve">North, M. P., Tompkins, R. E., Bernal, A. A., Collins, B. M., Stephens, S. L., &amp; York, R. A. (2022). Operational resilience in western US frequent-fire forests. </w:t>
      </w:r>
      <w:r>
        <w:rPr>
          <w:i/>
          <w:iCs/>
        </w:rPr>
        <w:t xml:space="preserve">Forest Ecology and Management</w:t>
      </w:r>
      <w:r>
        <w:t xml:space="preserve">, </w:t>
      </w:r>
      <w:r>
        <w:rPr>
          <w:i/>
          <w:iCs/>
        </w:rPr>
        <w:t xml:space="preserve">507</w:t>
      </w:r>
      <w:r>
        <w:t xml:space="preserve">, 120004. </w:t>
      </w:r>
      <w:hyperlink w:history="1" r:id="rIdwxdj4f1_axpaoy_vxnhag">
        <w:r>
          <w:rPr>
            <w:rStyle w:val="Hyperlink"/>
          </w:rPr>
          <w:t xml:space="preserve">10.1016/j.foreco.2021.120004</w:t>
        </w:r>
      </w:hyperlink>
      <w:r>
        <w:t xml:space="preserve">North, M., Stine, P., O’Hara, K., Zielinski, W., &amp; Stephens, S. (2009). </w:t>
      </w:r>
      <w:r>
        <w:rPr>
          <w:i/>
          <w:iCs/>
        </w:rPr>
        <w:t xml:space="preserve">An ecosystem management strategy for Sierran mixed-conifer forests</w:t>
      </w:r>
      <w:r>
        <w:t xml:space="preserve">. U.S. Department of Agriculture, Forest Service, Pacific Southwest Research Station. </w:t>
      </w:r>
      <w:hyperlink w:history="1" r:id="rIdw1rityih7h6-pgrxzp__6">
        <w:r>
          <w:rPr>
            <w:rStyle w:val="Hyperlink"/>
          </w:rPr>
          <w:t xml:space="preserve">10.2737/psw-gtr-220</w:t>
        </w:r>
      </w:hyperlink>
      <w:r>
        <w:t xml:space="preserve">Re, S. (2023). </w:t>
      </w:r>
      <w:r>
        <w:rPr>
          <w:i/>
          <w:iCs/>
        </w:rPr>
        <w:t xml:space="preserve">What is parametric insurance?</w:t>
      </w:r>
      <w:r>
        <w:t xml:space="preserve"> Swiss Re Corporate Solutions. </w:t>
      </w:r>
      <w:hyperlink w:history="1" r:id="rIde_t_hjltag1pznuzsezof">
        <w:r>
          <w:rPr>
            <w:rStyle w:val="Hyperlink"/>
          </w:rPr>
          <w:t xml:space="preserve">https://corporatesolutions.swissre.com/insights/knowledge/what_is_parametric_insurance.html</w:t>
        </w:r>
      </w:hyperlink>
      <w:r>
        <w:t xml:space="preserve">Russell, V., &amp; Odefey, J. (2024). </w:t>
      </w:r>
      <w:r>
        <w:rPr>
          <w:i/>
          <w:iCs/>
        </w:rPr>
        <w:t xml:space="preserve">Conservation finance: Towards a new model for landscape restoration</w:t>
      </w:r>
      <w:r>
        <w:t xml:space="preserve">. </w:t>
      </w:r>
      <w:hyperlink w:history="1" r:id="rIda_iaehxwzkmccdixywisa">
        <w:r>
          <w:rPr>
            <w:rStyle w:val="Hyperlink"/>
          </w:rPr>
          <w:t xml:space="preserve">https://confinance.info</w:t>
        </w:r>
      </w:hyperlink>
      <w:r>
        <w:t xml:space="preserve">Russell, V., Sacco, C., Rinne, K., Adriance, J., &amp; Kahling, K. (2024). </w:t>
      </w:r>
      <w:r>
        <w:rPr>
          <w:i/>
          <w:iCs/>
        </w:rPr>
        <w:t xml:space="preserve">Forest Business Guidebook</w:t>
      </w:r>
      <w:r>
        <w:t xml:space="preserve">. Forest Business Alliance. </w:t>
      </w:r>
      <w:hyperlink w:history="1" r:id="rIdyijewznnczu43m9sekxe7">
        <w:r>
          <w:rPr>
            <w:rStyle w:val="Hyperlink"/>
          </w:rPr>
          <w:t xml:space="preserve">https://3point.xyz/fba-myst/</w:t>
        </w:r>
      </w:hyperlink>
      <w:r>
        <w:t xml:space="preserve">Swezy, C., &amp; Oldson, S. (2025). </w:t>
      </w:r>
      <w:r>
        <w:rPr>
          <w:i/>
          <w:iCs/>
        </w:rPr>
        <w:t xml:space="preserve">Assessing the feasibility of a joint powers authority-led sort yard in Northeastern California</w:t>
      </w:r>
      <w:r>
        <w:t xml:space="preserve">. Fall River Resource Conservation District. </w:t>
      </w:r>
      <w:hyperlink w:history="1" r:id="rIdlgx0ocmi_7wdao8smjzbw">
        <w:r>
          <w:rPr>
            <w:rStyle w:val="Hyperlink"/>
          </w:rPr>
          <w:t xml:space="preserve">https://www.fallriverrcd.org/_files/ugd/80da86_a2c73d8b5788458f96777341f64cf965.pdf</w:t>
        </w:r>
      </w:hyperlink>
      <w:r>
        <w:t xml:space="preserve">Swezy, C., Bailey, J., &amp; Chung, W. (2021). Linking Federal Forest Restoration with Wood Utilization: Modeling Biomass Prices and Analyzing Forest Restoration Costs in the Northern Sierra Nevada. </w:t>
      </w:r>
      <w:r>
        <w:rPr>
          <w:i/>
          <w:iCs/>
        </w:rPr>
        <w:t xml:space="preserve">Energies</w:t>
      </w:r>
      <w:r>
        <w:t xml:space="preserve">, </w:t>
      </w:r>
      <w:r>
        <w:rPr>
          <w:i/>
          <w:iCs/>
        </w:rPr>
        <w:t xml:space="preserve">14</w:t>
      </w:r>
      <w:r>
        <w:t xml:space="preserve">(9), 2696. </w:t>
      </w:r>
      <w:hyperlink w:history="1" r:id="rIdkhfwga4h5xz_o1cxwrybj">
        <w:r>
          <w:rPr>
            <w:rStyle w:val="Hyperlink"/>
          </w:rPr>
          <w:t xml:space="preserve">10.3390/en14092696</w:t>
        </w:r>
      </w:hyperlink>
      <w:r>
        <w:t xml:space="preserve">Tukman, M., &amp; Griffith, E. (2022). </w:t>
      </w:r>
      <w:r>
        <w:rPr>
          <w:i/>
          <w:iCs/>
        </w:rPr>
        <w:t xml:space="preserve">North coast mechanical treatment feasibility: Assessing areas across the North Coast for mechanical treatment feasibility of hazardous fuels</w:t>
      </w:r>
      <w:r>
        <w:t xml:space="preserve">. North Coast Resource Partnership. </w:t>
      </w:r>
      <w:hyperlink w:history="1" r:id="rIdbv9glagnr5z7iyhkch6dr">
        <w:r>
          <w:rPr>
            <w:rStyle w:val="Hyperlink"/>
          </w:rPr>
          <w:t xml:space="preserve">https://storymaps.arcgis.com/stories/d176adc01bcf465ab846a7d93e1d625c</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See </w:t>
      </w:r>
      <w:r>
        <w:t xml:space="preserve">(</w:t>
      </w:r>
      <w:r>
        <w:t xml:space="preserve">Bohlman </w:t>
      </w:r>
      <w:r>
        <w:rPr>
          <w:i/>
          <w:iCs/>
        </w:rPr>
        <w:t xml:space="preserve">et al.</w:t>
      </w:r>
      <w:r>
        <w:t xml:space="preserve">, 2021</w:t>
      </w:r>
      <w:r>
        <w:t xml:space="preserve">)</w:t>
      </w:r>
      <w:r>
        <w:t xml:space="preserve">.</w:t>
      </w:r>
    </w:p>
  </w:footnote>
  <w:footnote w:id="2">
    <w:p>
      <w:r>
        <w:rPr>
          <w:rStyle w:val="FootnoteReference"/>
        </w:rPr>
        <w:footnoteRef/>
      </w:r>
      <w:r>
        <w:t xml:space="preserve">The old rule of thumb is a maximum 50-mile deadhead (empty trailer returning after dropping off payload) trip for timber or other forest products.</w:t>
      </w:r>
    </w:p>
  </w:footnote>
  <w:footnote w:id="3">
    <w:p>
      <w:r>
        <w:rPr>
          <w:rStyle w:val="FootnoteReference"/>
        </w:rPr>
        <w:footnoteRef/>
      </w:r>
      <w:r>
        <w:t xml:space="preserve">Note that the Marin Wildfire Prevention Authority, funded by a sales tax increase in Marin County, has a $19.3 mn annual budget.</w:t>
      </w:r>
    </w:p>
  </w:footnote>
  <w:footnote w:id="4">
    <w:p>
      <w:r>
        <w:rPr>
          <w:rStyle w:val="FootnoteReference"/>
        </w:rPr>
        <w:footnoteRef/>
      </w:r>
      <w:r>
        <w:t xml:space="preserve">Personal communication, Temra Costa, Regenerative Forest Solutions.</w:t>
      </w:r>
    </w:p>
  </w:footnote>
  <w:footnote w:id="5">
    <w:p>
      <w:r>
        <w:rPr>
          <w:rStyle w:val="FootnoteReference"/>
        </w:rPr>
        <w:footnoteRef/>
      </w:r>
      <w:r>
        <w:t xml:space="preserve">See </w:t>
      </w:r>
      <w:hyperlink w:history="1" r:id="rId9qq-qdmq8kzcii0wghxul">
        <w:r>
          <w:rPr>
            <w:rStyle w:val="Hyperlink"/>
          </w:rPr>
          <w:t xml:space="preserve">collaborative finance</w:t>
        </w:r>
      </w:hyperlink>
      <w:r>
        <w:t xml:space="preserve"> for more information.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4"/>
    <w:lvlOverride w:ilvl="0">
      <w:startOverride w:val="1"/>
    </w:lvlOverride>
  </w:num>
  <w:num w:numId="10">
    <w:abstractNumId w:val="5"/>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8"/>
    <w:lvlOverride w:ilvl="0">
      <w:startOverride w:val="1"/>
    </w:lvlOverride>
  </w:num>
  <w:num w:numId="14">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oxdvkvvfxoz02iludj-" Type="http://schemas.openxmlformats.org/officeDocument/2006/relationships/hyperlink" Target="https://www.regenerativeforestsolutions.org" TargetMode="External"/><Relationship Id="rIdsovsxaukpbnxuqrndmj1n" Type="http://schemas.openxmlformats.org/officeDocument/2006/relationships/hyperlink" Target="https://carcd.org/page/forestry-and-fire-resilience" TargetMode="External"/><Relationship Id="rIdntsd9k9lwprao2fgv5ecz" Type="http://schemas.openxmlformats.org/officeDocument/2006/relationships/hyperlink" Target="https://www.fire.ca.gov/what-we-do/natural-resource-management/forest-practice/licensed-timber-operators" TargetMode="External"/><Relationship Id="rIdhir5t89dyflsp8oeh4du_" Type="http://schemas.openxmlformats.org/officeDocument/2006/relationships/hyperlink" Target="https://verra.org/methodologies/methodology-for-avoided-forest-conversion-from-decreased-wildfire/" TargetMode="External"/><Relationship Id="rIdebh02ezesfwpcadziejb5" Type="http://schemas.openxmlformats.org/officeDocument/2006/relationships/hyperlink" Target="https://www.nature.org/content/dam/tnc/nature/en/documents/TNC_Mexico_CoastalManagementTrust_Factsheet.pdf" TargetMode="External"/><Relationship Id="rIdhyd3vvqki9zzfmrezryau" Type="http://schemas.openxmlformats.org/officeDocument/2006/relationships/hyperlink" Target="https://shorter.gg/AKrVQs" TargetMode="External"/><Relationship Id="rIdi_udoahcvklhdnwy9lpul" Type="http://schemas.openxmlformats.org/officeDocument/2006/relationships/hyperlink" Target="https://doi.org/10.3389/ffgc.2024.1496190" TargetMode="External"/><Relationship Id="rIdimlzuqkvjcq-csjaazyc5" Type="http://schemas.openxmlformats.org/officeDocument/2006/relationships/hyperlink" Target="https://doi.org/10.1093/jof/109.4.208" TargetMode="External"/><Relationship Id="rIdibecqr2w71otxrebn-f3b" Type="http://schemas.openxmlformats.org/officeDocument/2006/relationships/hyperlink" Target="https://doi.org/10.3389/ffgc.2025.1493879" TargetMode="External"/><Relationship Id="rId9lvk1adit1v42rrpizqd_" Type="http://schemas.openxmlformats.org/officeDocument/2006/relationships/hyperlink" Target="https://www.regenerativeforestsolutions.org/resourcesandreports/full-study-assessing-the-viability-of-wood-recovery-and-utilization-in-sonoma-county" TargetMode="External"/><Relationship Id="rIda9uwqmliu0tzyt21wimjl" Type="http://schemas.openxmlformats.org/officeDocument/2006/relationships/hyperlink" Target="https://drive.google.com/file/d/1wPsETRE7AewydAGzFuuZoFvQkKNaFh6r/view" TargetMode="External"/><Relationship Id="rIdl5ui2z3jffr3ji3eqnbaz" Type="http://schemas.openxmlformats.org/officeDocument/2006/relationships/hyperlink" Target="https://sgf.senate.ca.gov/sites/sgf.senate.ca.gov/files/GWTFinalversion2.pdf" TargetMode="External"/><Relationship Id="rIdbtlkcwsrwcds5xtpxcunc" Type="http://schemas.openxmlformats.org/officeDocument/2006/relationships/hyperlink" Target="https://bof.fire.ca.gov/media/sbvcxfiy/cal-frame-jpa-noreast-opr-pilot_final-may122023.pdf" TargetMode="External"/><Relationship Id="rIdpri-3_rzauf7ta2dohjy8" Type="http://schemas.openxmlformats.org/officeDocument/2006/relationships/hyperlink" Target="https://bof.fire.ca.gov/media/0t1f0oqa/full-12-b-i-ca-forest-biomass-pile-data-collection-report-draft_part-1__11-8-23-adamfk.pdf" TargetMode="External"/><Relationship Id="rIdtdtyfl9gtypx0ndb-o5fl" Type="http://schemas.openxmlformats.org/officeDocument/2006/relationships/hyperlink" Target="https://bbklaw.com/resources/the-ins-and-outs-of-joint-powers-authorities-in-california" TargetMode="External"/><Relationship Id="rIdtnufsgbvaoea4kpooetnp" Type="http://schemas.openxmlformats.org/officeDocument/2006/relationships/hyperlink" Target="https://doi.org/10.3389/ffgc.2022.979528" TargetMode="External"/><Relationship Id="rIdos19gm2hs-1uwpppkowx6" Type="http://schemas.openxmlformats.org/officeDocument/2006/relationships/hyperlink" Target="https://doi.org/10.1002/eap.2431" TargetMode="External"/><Relationship Id="rIdpez845kpiolicawgljvqd" Type="http://schemas.openxmlformats.org/officeDocument/2006/relationships/hyperlink" Target="https://doi.org/10.1002/fee.2553" TargetMode="External"/><Relationship Id="rIdyk2e-qpykk5vnhpouofcy" Type="http://schemas.openxmlformats.org/officeDocument/2006/relationships/hyperlink" Target="https://doi.org/10.1186/s42408-021-00110-7" TargetMode="External"/><Relationship Id="rIdwxdj4f1_axpaoy_vxnhag" Type="http://schemas.openxmlformats.org/officeDocument/2006/relationships/hyperlink" Target="https://doi.org/10.1016/j.foreco.2021.120004" TargetMode="External"/><Relationship Id="rIdw1rityih7h6-pgrxzp__6" Type="http://schemas.openxmlformats.org/officeDocument/2006/relationships/hyperlink" Target="https://doi.org/10.2737/psw-gtr-220" TargetMode="External"/><Relationship Id="rIde_t_hjltag1pznuzsezof" Type="http://schemas.openxmlformats.org/officeDocument/2006/relationships/hyperlink" Target="https://corporatesolutions.swissre.com/insights/knowledge/what_is_parametric_insurance.html" TargetMode="External"/><Relationship Id="rIda_iaehxwzkmccdixywisa" Type="http://schemas.openxmlformats.org/officeDocument/2006/relationships/hyperlink" Target="https://confinance.info" TargetMode="External"/><Relationship Id="rIdyijewznnczu43m9sekxe7" Type="http://schemas.openxmlformats.org/officeDocument/2006/relationships/hyperlink" Target="https://3point.xyz/fba-myst/" TargetMode="External"/><Relationship Id="rIdlgx0ocmi_7wdao8smjzbw" Type="http://schemas.openxmlformats.org/officeDocument/2006/relationships/hyperlink" Target="https://www.fallriverrcd.org/_files/ugd/80da86_a2c73d8b5788458f96777341f64cf965.pdf" TargetMode="External"/><Relationship Id="rIdkhfwga4h5xz_o1cxwrybj" Type="http://schemas.openxmlformats.org/officeDocument/2006/relationships/hyperlink" Target="https://doi.org/10.3390/en14092696" TargetMode="External"/><Relationship Id="rIdbv9glagnr5z7iyhkch6dr" Type="http://schemas.openxmlformats.org/officeDocument/2006/relationships/hyperlink" Target="https://storymaps.arcgis.com/stories/d176adc01bcf465ab846a7d93e1d625c" TargetMode="External"/><Relationship Id="rId7" Type="http://schemas.openxmlformats.org/officeDocument/2006/relationships/image" Target="media/q75u8zelgopxcplxste5d.png"/><Relationship Id="rId8" Type="http://schemas.openxmlformats.org/officeDocument/2006/relationships/image" Target="media/af7ql8vtthywmmindy2ea.png"/></Relationships>
</file>

<file path=word/_rels/footer1.xml.rels><?xml version="1.0" encoding="UTF-8"?><Relationships xmlns="http://schemas.openxmlformats.org/package/2006/relationships"><Relationship Id="rId0" Type="http://schemas.openxmlformats.org/officeDocument/2006/relationships/image" Target="media/qar7xt4jsqmgy1jjgnz3j.png"/></Relationships>
</file>

<file path=word/_rels/footnotes.xml.rels><?xml version="1.0" encoding="UTF-8"?><Relationships xmlns="http://schemas.openxmlformats.org/package/2006/relationships"><Relationship Id="rId9qq-qdmq8kzcii0wghxul" Type="http://schemas.openxmlformats.org/officeDocument/2006/relationships/hyperlink" Target="collaborativefinance.org"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JPA Funding Strategies 💵</dc:title>
  <dc:creator>Un-named</dc:creator>
  <cp:keywords>b, i, o, m, a, s, ,,  , f, n, c, e, d, t, k, r, h, l, u, g, j, p, w, y</cp:keywords>
  <cp:lastModifiedBy>Un-named</cp:lastModifiedBy>
  <cp:revision>1</cp:revision>
  <dcterms:created xsi:type="dcterms:W3CDTF">2025-09-03T14:16:22.431Z</dcterms:created>
  <dcterms:modified xsi:type="dcterms:W3CDTF">2025-09-03T14:16:22.431Z</dcterms:modified>
</cp:coreProperties>
</file>

<file path=docProps/custom.xml><?xml version="1.0" encoding="utf-8"?>
<Properties xmlns="http://schemas.openxmlformats.org/officeDocument/2006/custom-properties" xmlns:vt="http://schemas.openxmlformats.org/officeDocument/2006/docPropsVTypes"/>
</file>