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t xml:space="preserve">Corrigés, barèmes et sources – Gestion professionnelle du temps</w:t>
      </w:r>
    </w:p>
    <w:p>
      <w:pPr>
        <w:spacing w:after="120"/>
      </w:pPr>
      <w:r>
        <w:rPr>
          <w:b/>
          <w:bCs/>
        </w:rPr>
        <w:t xml:space="preserve">Formation :</w:t>
      </w:r>
      <w:r>
        <w:t xml:space="preserve"> Gestion professionnelle du temps · </w:t>
      </w:r>
      <w:r>
        <w:rPr>
          <w:b/>
          <w:bCs/>
        </w:rPr>
        <w:t xml:space="preserve">Document :</w:t>
      </w:r>
      <w:r>
        <w:t xml:space="preserve"> corrigés et sources, réservé au formateur · </w:t>
      </w:r>
      <w:r>
        <w:rPr>
          <w:b/>
          <w:bCs/>
        </w:rPr>
        <w:t xml:space="preserve">Version :</w:t>
      </w:r>
      <w:r>
        <w:t xml:space="preserve"> commande exemple-gestion-temps, 16/10/2026</w:t>
      </w:r>
    </w:p>
    <w:p>
      <w:pPr>
        <w:pBdr>
          <w:left w:val="single" w:color="1F4E79" w:sz="18" w:space="8"/>
        </w:pBdr>
        <w:shd w:fill="EAF1F8" w:color="auto" w:val="clear"/>
        <w:spacing w:after="120"/>
        <w:ind w:left="200" w:right="200"/>
      </w:pPr>
      <w:r>
        <w:rPr>
          <w:color w:val="1F3A5F"/>
        </w:rPr>
        <w:t xml:space="preserve">Chaque question cite le passage de vos supports dont elle vient (fichier et page). Contrôles automatiques passés par chaque question : citation retrouvée mot pour mot dans vos supports ; pour les réponses en un mot, mot présent dans le passage cité et absent de l’énoncé ; bonne réponse présente une seule fois parmi les options ; pas de doublon avec une autre question de la formation. Relisez et validez chaque question avant usage : vous restez l’évaluateur.</w:t>
      </w:r>
    </w:p>
    <w:p>
      <w:pPr>
        <w:pStyle w:val="Heading2"/>
        <w:spacing w:after="120" w:before="240"/>
      </w:pPr>
      <w:r>
        <w:t xml:space="preserve">Objectifs évalués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Expliquer pourquoi le temps est un enjeu pour l’entreprise et repérer les causes de pertes de temps (chapitres 1 et 2)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Organiser son temps par étapes (objectifs, planification, décision, contrôle) et appliquer la méthode NERAC (chapitres 2 et 5)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Prioriser et analyser avec le principe de Pareto et l’analyse ABC (chapitres 7 et 8)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Mesurer et regrouper le temps de travail : pendulage, paquets de 90 minutes, grille d’auto-analyse (chapitres 3, 4 et 9)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Choisir un outil adapté : calendrier partagé, diagramme de Gantt, PERT, carte heuristique, QQOQCCP (chapitres 6 et 10)</w:t>
      </w:r>
    </w:p>
    <w:p>
      <w:pPr>
        <w:spacing w:after="120"/>
      </w:pPr>
      <w:r>
        <w:rPr>
          <w:i/>
          <w:iCs/>
        </w:rPr>
        <w:t xml:space="preserve">Objectifs évaluables reformulés par Acquimètre à partir de la page « Objectifs » de la leçon (« découvrir des techniques simples et des outils pratiques d’organisation », « minimiser le temps perdu », « maximiser le temps gagné ») et de son plan en 10 chapitres. À valider ou à remplacer par les objectifs de votre fiche programme.</w:t>
      </w:r>
    </w:p>
    <w:p>
      <w:pPr>
        <w:pStyle w:val="Heading2"/>
        <w:spacing w:after="120" w:before="240"/>
      </w:pPr>
      <w:r>
        <w:t xml:space="preserve">Test de positionnement à l’entrée (indicateur 8)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6"/>
        <w:gridCol w:w="1274"/>
        <w:gridCol w:w="2646"/>
        <w:gridCol w:w="1176"/>
        <w:gridCol w:w="3528"/>
      </w:tblGrid>
      <w:tr>
        <w:trPr>
          <w:tblHeader/>
        </w:trPr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pct" w:w="6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Obj.</w:t>
            </w:r>
          </w:p>
        </w:tc>
        <w:tc>
          <w:tcPr>
            <w:tcW w:type="pct" w:w="13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Réponse attendue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18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Source (fichier, page)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À un manque de gestion du temps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4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procrastination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5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Noter, Estimer, Réserver, Arbitrer, Contrôler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10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Fixer les objectifs, planifier, décider, contrôler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6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20 %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14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Trois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16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pendulage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8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90 minutes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7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L’échelle des temps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21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Qui, Quoi, Où, Quand, Comment, Combien, Pourquoi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12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65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1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Règle de décision, écrite avant de faire passer le test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4"/>
        <w:gridCol w:w="2940"/>
        <w:gridCol w:w="4606"/>
      </w:tblGrid>
      <w:tr>
        <w:trPr>
          <w:tblHeader/>
        </w:trPr>
        <w:tc>
          <w:tcPr>
            <w:tcW w:type="pct" w:w="11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Résultat</w:t>
            </w:r>
          </w:p>
        </w:tc>
        <w:tc>
          <w:tcPr>
            <w:tcW w:type="pct" w:w="15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Décision</w:t>
            </w:r>
          </w:p>
        </w:tc>
        <w:tc>
          <w:tcPr>
            <w:tcW w:type="pct" w:w="23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Action et trace</w:t>
            </w:r>
          </w:p>
        </w:tc>
      </w:tr>
      <w:tr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Score &lt; 30 %</w:t>
            </w:r>
          </w:p>
        </w:tc>
        <w:tc>
          <w:tcPr>
            <w:tcW w:type="pct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Parcours standard avec points d’attention</w:t>
            </w:r>
          </w:p>
        </w:tc>
        <w:tc>
          <w:tcPr>
            <w:tcW w:type="pct" w:w="2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Repérer les objectifs à 0 point et prévoir un accompagnement renforcé sur ces objectifs ; noter la décision dans la fiche de résultats</w:t>
            </w:r>
          </w:p>
        </w:tc>
      </w:tr>
      <w:tr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30 % ≤ score &lt; 70 %</w:t>
            </w:r>
          </w:p>
        </w:tc>
        <w:tc>
          <w:tcPr>
            <w:tcW w:type="pct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Parcours standard</w:t>
            </w:r>
          </w:p>
        </w:tc>
        <w:tc>
          <w:tcPr>
            <w:tcW w:type="pct" w:w="2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Aucune adaptation</w:t>
            </w:r>
          </w:p>
        </w:tc>
      </w:tr>
      <w:tr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Score ≥ 70 %</w:t>
            </w:r>
          </w:p>
        </w:tc>
        <w:tc>
          <w:tcPr>
            <w:tcW w:type="pct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Parcours allégé ou approfondissement</w:t>
            </w:r>
          </w:p>
        </w:tc>
        <w:tc>
          <w:tcPr>
            <w:tcW w:type="pct" w:w="2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Proposer d’alléger les séquences déjà maîtrisées (objectifs à 100 %) ou des exercices d’approfondissement ; ajuster la convention si la durée change</w:t>
            </w:r>
          </w:p>
        </w:tc>
      </w:tr>
      <w:tr>
        <w:tc>
          <w:tcPr>
            <w:tcW w:type="pct" w:w="11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Aménagement signalé</w:t>
            </w:r>
          </w:p>
        </w:tc>
        <w:tc>
          <w:tcPr>
            <w:tcW w:type="pct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Étude avec le référent handicap</w:t>
            </w:r>
          </w:p>
        </w:tc>
        <w:tc>
          <w:tcPr>
            <w:tcW w:type="pct" w:w="23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Fiche T34 du Kit Qualiopi ou votre propre procédure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Prérequis : Aucun : la fiche programme indique que la formation est « accessible à tous les professionnels, quels que soient leurs métiers ». Le test ne sert donc pas à refuser une entrée en formation.</w:t>
      </w:r>
    </w:p>
    <w:p>
      <w:pPr>
        <w:spacing w:after="120"/>
      </w:pPr>
      <w:r>
        <w:rPr>
          <w:b/>
          <w:bCs/>
        </w:rPr>
        <w:t xml:space="preserve">Passages cités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La plupart des pertes subies par les entreprises et par les organisations sont dues à un manque de gestion du temps » (support-gestion-professionnelle-du-temps.pdf, p. 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On peut parler de la procrastination, il s’agit du fait de tout remettre au lendemain » (support-gestion-professionnelle-du-temps.pdf, p. 5)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Signifie Noter, Estimer, Réserver, Arbitrer, Contrôler » (support-gestion-professionnelle-du-temps.pdf, p. 10)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Fixation des objectifs et des enjeux : il s’agit donc alors de déterminer la durée d’une tâche, d’un projet, et son délai de réalisation Une phase de planification et d’organisation » (support-gestion-professionnelle-du-temps.pdf, p. 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Selon cette loi, l'essentiel prend 20 % du temps et l'accessoire occupe 80 % du temps restant » (support-gestion-professionnelle-du-temps.pdf, p. 14)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l’analyse ABC catégorise les produits en trois classes » (support-gestion-professionnelle-du-temps.pdf, p. 16)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La méthode du pendulage est une technique qui mesure le temps alloué à chaque tâche » (support-gestion-professionnelle-du-temps.pdf, p. 8)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les adultes instruits ne peuvent être efficients que par cycles de 90 minutes » (support-gestion-professionnelle-du-temps.pdf, p. 7)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L'échelle des temps est représentée en abscisses et l'échelle des tâches en ordonnées » (support-gestion-professionnelle-du-temps.pdf, p. 21)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« QQOQCCP signifie Qui, Quoi, Où, Quand, Comment, Combien, Pourquoi » (support-gestion-professionnelle-du-temps.pdf, p. 12)</w:t>
      </w:r>
    </w:p>
    <w:p>
      <w:pPr>
        <w:pStyle w:val="Heading2"/>
        <w:spacing w:after="120" w:before="240"/>
      </w:pPr>
      <w:r>
        <w:t xml:space="preserve">Évaluation des acquis en fin de formation (indicateur 11)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6"/>
        <w:gridCol w:w="1176"/>
        <w:gridCol w:w="2744"/>
        <w:gridCol w:w="1176"/>
        <w:gridCol w:w="3528"/>
      </w:tblGrid>
      <w:tr>
        <w:trPr>
          <w:tblHeader/>
        </w:trPr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Obj.</w:t>
            </w:r>
          </w:p>
        </w:tc>
        <w:tc>
          <w:tcPr>
            <w:tcW w:type="pct" w:w="14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Réponse attendue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18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Source (fichier, page)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Économiques, matérielles, socioculturelles et psychologiques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5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communication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5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2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5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La mise à jour d’un tableau de bord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10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doute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10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La durée d’une tâche ou d’un projet et son délai de réalisation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6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Montage col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15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5 % de la valeur du stock et 50 % des produits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16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morts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16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66 contrats par jour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8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5 minutes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8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Tous les lundis matin, ou 1 heure chaque jour le matin en arrivant ou après le déjeuner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19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Rendez Vous Facile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21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c) The Brain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22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CQQCOQP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12</w:t>
            </w:r>
          </w:p>
        </w:tc>
      </w:tr>
      <w:tr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15</w:t>
            </w:r>
          </w:p>
        </w:tc>
        <w:tc>
          <w:tcPr>
            <w:tcW w:type="pct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Seuil d’atteinte :</w:t>
      </w:r>
      <w:r>
        <w:t xml:space="preserve"> 70 % des points au total, et au moins une bonne réponse par objectif. Un objectif sans bonne réponse est noté « non atteint » dans la fiche de résultats, quel que soit le total.</w:t>
      </w:r>
    </w:p>
    <w:p>
      <w:pPr>
        <w:spacing w:after="120"/>
      </w:pPr>
      <w:r>
        <w:rPr>
          <w:b/>
          <w:bCs/>
        </w:rPr>
        <w:t xml:space="preserve">Passages cités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On peut distinguer des conditions : Economiques : comme les conditions de travail Matérielles: les outils de travail la qualité du cadre de travail Socioculturelle et psychologiques : la communication » (support-gestion-professionnelle-du-temps.pdf, p. 5)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Les maîtres mots des gains de temps sont finalement l’organisation et la communication » (support-gestion-professionnelle-du-temps.pdf, p. 5)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En 1954, seulement 2 noms de marques contenant le mot « chrono » étaient répertoriées et déposées » (support-gestion-professionnelle-du-temps.pdf, p. 5)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Pour la mise à jour d’un tableau de bord (Notifier l’évènement), on estime le temps de réalisation à deux heures (Estimer) » (support-gestion-professionnelle-du-temps.pdf, p. 10)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Puis, on Réserve, on émet un doute sur ce temps qui sera destiné aux imprévus qui pourraient survenir » (support-gestion-professionnelle-du-temps.pdf, p. 10)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Fixation des objectifs et des enjeux : il s’agit donc alors de déterminer la durée d’une tâche, d’un projet, et son délai de réalisation » (support-gestion-professionnelle-du-temps.pdf, p. 6)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Ref Type de réparation Quantité Cumul% FMontage col4583458335% » (support-gestion-professionnelle-du-temps.pdf, p. 15)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"Classe C" : les produits de la classe C constituent en générale 5% de la valeur totale du stock et 50 % de la quantité totale des produits » (support-gestion-professionnelle-du-temps.pdf, p. 16)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elle permet d’identifier les articles qui ne tournent pas, les stocks morts » (support-gestion-professionnelle-du-temps.pdf, p. 16)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Le responsable a fixé un objectif global de 66 contrats par jour » (support-gestion-professionnelle-du-temps.pdf, p. 8)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permettraient de réduire le temps de saisie à 5 minutes » (support-gestion-professionnelle-du-temps.pdf, p. 8)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Mail » tous les Lundis matin ou 1 heure tous les jours le matin en arrivant ou après le déjeuner » (support-gestion-professionnelle-du-temps.pdf, p. 19)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Rendez Vous Facile (spécialisé dans le secteur de la santé) » (support-gestion-professionnelle-du-temps.pdf, p. 21)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Free Mind Freeplane Mymap The Brain » (support-gestion-professionnelle-du-temps.pdf, p. 22)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« il faut faire le cheminement inverse, c'est-à-dire « CQQCOQP ne pas » » (support-gestion-professionnelle-du-temps.pdf, p. 12)</w:t>
      </w:r>
    </w:p>
    <w:p>
      <w:pPr>
        <w:pStyle w:val="Heading2"/>
        <w:spacing w:after="120" w:before="240"/>
      </w:pPr>
      <w:r>
        <w:t xml:space="preserve">Évaluation des acquis à J+30 (indicateur 11)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8"/>
        <w:gridCol w:w="1176"/>
        <w:gridCol w:w="2842"/>
        <w:gridCol w:w="1176"/>
        <w:gridCol w:w="3430"/>
      </w:tblGrid>
      <w:tr>
        <w:trPr>
          <w:tblHeader/>
        </w:trPr>
        <w:tc>
          <w:tcPr>
            <w:tcW w:type="pct" w:w="5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N°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Obj.</w:t>
            </w:r>
          </w:p>
        </w:tc>
        <w:tc>
          <w:tcPr>
            <w:tcW w:type="pct" w:w="14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Réponse attendue</w:t>
            </w:r>
          </w:p>
        </w:tc>
        <w:tc>
          <w:tcPr>
            <w:tcW w:type="pct" w:w="60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Pts</w:t>
            </w:r>
          </w:p>
        </w:tc>
        <w:tc>
          <w:tcPr>
            <w:tcW w:type="pct" w:w="1750"/>
            <w:shd w:fill="1F4E79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Source (fichier, page)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Une non-gérance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5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O1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Parce qu’il est non renouvelable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4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Bernard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10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O2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2 heures et 15 minutes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10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88,49 %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14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O3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Trois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14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d) Faire une pause toutes les 90 minutes et changer de sujet à chaque paquet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7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O4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pendulage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8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a) À afficher des messages et rappeler les règles de sécurité, d’hygiène ou de qualité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21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O5</w:t>
            </w:r>
          </w:p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b) Un slide par question, avec les réponses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support-gestion-professionnelle-du-temps.pdf, p. 13</w:t>
            </w:r>
          </w:p>
        </w:tc>
      </w:tr>
      <w:tr>
        <w:tc>
          <w:tcPr>
            <w:tcW w:type="pct" w:w="55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  <w:tc>
          <w:tcPr>
            <w:tcW w:type="pct" w:w="145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Total</w:t>
            </w:r>
          </w:p>
        </w:tc>
        <w:tc>
          <w:tcPr>
            <w:tcW w:type="pct" w:w="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</w:rPr>
              <w:t xml:space="preserve">10</w:t>
            </w:r>
          </w:p>
        </w:tc>
        <w:tc>
          <w:tcPr>
            <w:tcW w:type="pct" w:w="1750"/>
            <w:tcMar>
              <w:top w:type="dxa" w:w="60"/>
              <w:left w:type="dxa" w:w="80"/>
              <w:bottom w:type="dxa" w:w="60"/>
              <w:right w:type="dxa" w:w="80"/>
            </w:tcMar>
          </w:tcPr>
          <w:p/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Seuil d’atteinte :</w:t>
      </w:r>
      <w:r>
        <w:t xml:space="preserve"> 70 % des points au total, et au moins une bonne réponse par objectif. Un objectif sans bonne réponse est noté « non atteint » dans la fiche de résultats, quel que soit le total.</w:t>
      </w:r>
    </w:p>
    <w:p>
      <w:pPr>
        <w:spacing w:after="120"/>
      </w:pPr>
      <w:r>
        <w:rPr>
          <w:b/>
          <w:bCs/>
        </w:rPr>
        <w:t xml:space="preserve">Passages cités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ceci est identifié comme une non-gérance et donc une perte de temps » (support-gestion-professionnelle-du-temps.pdf, p. 5)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Le temps est donc une ressource rare et non renouvelable » (support-gestion-professionnelle-du-temps.pdf, p. 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Activité Durée Ajustement Important Urgent Quand Contrôle Commentaire MàJ TdB2h2h 48 mins Oui OuiJ+1 Bernard2h 15 mins » (support-gestion-professionnelle-du-temps.pdf, p. 10)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qui contrôle le temps réel de mise à jour du tableau de bord, qui est à ce jour fixé à 2 heures et 15 minutes » (support-gestion-professionnelle-du-temps.pdf, p. 10)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Manque de communication42325,50%88,49% » (support-gestion-professionnelle-du-temps.pdf, p. 14)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les références "F,A,I" qui représentent 3 types de réparations sur 10 (soit 30%), représentent 80% de la totalité des réparations » (support-gestion-professionnelle-du-temps.pdf, p. 14)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il convient de faire des pauses toutes les 90 minutes et idéalement de choisir un sujet différent par paquet de 90 minutes » (support-gestion-professionnelle-du-temps.pdf, p. 7)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Le pendulage est utilisé surtout pour fixer des normes de travail et d'organiser ce travail » (support-gestion-professionnelle-du-temps.pdf, p. 8)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servent aussi à afficher des messages (communication interne), à rappeler aux employés les règles de sécurité, d’hygiène, de qualité, etc (procédures) » (support-gestion-professionnelle-du-temps.pdf, p. 21)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« Il convient ensuite de présenter un slide par question avec des réponses. » (support-gestion-professionnelle-du-temps.pdf, p. 13)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Acquimètre – READ FRANCE SAS – commande exemple-gestion-temps — page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7F7F"/>
        <w:sz w:val="16"/>
        <w:szCs w:val="16"/>
      </w:rPr>
      <w:t xml:space="preserve">Corrigés et sources – Gestion professionnelle du temps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qFormat/>
    <w:rPr>
      <w:b/>
      <w:bCs/>
      <w:color w:val="2E2E2E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Corrigés et sources – Gestion professionnelle du temps</dc:title>
  <dc:creator>READ FRANCE SAS</dc:creator>
  <dc:description>Acquimètre – READ FRANCE SAS</dc:description>
  <cp:lastModifiedBy>Un-named</cp:lastModifiedBy>
  <cp:revision>1</cp:revision>
  <dcterms:created xsi:type="dcterms:W3CDTF">2026-10-16T19:35:27.444Z</dcterms:created>
  <dcterms:modified xsi:type="dcterms:W3CDTF">2026-10-16T19:35:27.444Z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