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0"/>
      </w:pPr>
      <w:r>
        <w:t xml:space="preserve">Corrigé et passages cités : Documents remis à l’embauche (exemple sur deux modèles officiels)</w:t>
      </w:r>
    </w:p>
    <w:p>
      <w:pPr>
        <w:spacing w:after="120"/>
      </w:pPr>
      <w:r>
        <w:rPr>
          <w:b/>
          <w:bCs/>
        </w:rPr>
        <w:t xml:space="preserve">Réservé à la personne qui corrige</w:t>
      </w:r>
      <w:r>
        <w:t xml:space="preserve"> · commande exemple-modeles-officiels, 16/10/2026</w:t>
      </w:r>
    </w:p>
    <w:p>
      <w:pPr>
        <w:pBdr>
          <w:left w:val="single" w:color="1F4E79" w:sz="18" w:space="8"/>
        </w:pBdr>
        <w:shd w:fill="EAF1F8" w:color="auto" w:val="clear"/>
        <w:spacing w:after="120"/>
        <w:ind w:left="200" w:right="200"/>
      </w:pPr>
      <w:r>
        <w:rPr>
          <w:color w:val="1F3A5F"/>
        </w:rPr>
        <w:t xml:space="preserve">Chaque question vient d’un passage de vos documents, cité mot pour mot avec sa page. Contrôles passés par chaque question : passage retrouvé dans le document ; pour les réponses en un mot, mot présent dans le passage et absent de l’énoncé ; une seule bonne option ; pas de doublon. Relisez et validez avant la première utilisation. Ce questionnaire ne vaut pas validation juridique de votre règlement ni de vos documents : nous n’en avons pas contrôlé la légalité.</w:t>
      </w:r>
    </w:p>
    <w:p>
      <w:pPr>
        <w:pStyle w:val="Heading2"/>
        <w:spacing w:after="120" w:before="240"/>
      </w:pPr>
      <w:r>
        <w:t xml:space="preserve">Correction</w:t>
      </w:r>
    </w:p>
    <w:p>
      <w:pPr>
        <w:spacing w:after="120"/>
      </w:pPr>
      <w:r>
        <w:t xml:space="preserve">Un point par bonne réponse, 16 au total. Repère indicatif : 80 % (13 bonnes réponses sur 16). En dessous, ou pour toute question fausse, relisez la section concernée avec la personne et notez-la sur l’attestation. Le résultat ne sert pas à sanctionner et aucune décision n’est prise automatiquement à partir de lui.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78"/>
        <w:gridCol w:w="2646"/>
        <w:gridCol w:w="2842"/>
        <w:gridCol w:w="3332"/>
      </w:tblGrid>
      <w:tr>
        <w:trPr>
          <w:tblHeader/>
        </w:trPr>
        <w:tc>
          <w:tcPr>
            <w:tcW w:type="pct" w:w="550"/>
            <w:shd w:fill="1F4E7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FFFFFF"/>
              </w:rPr>
              <w:t xml:space="preserve">N°</w:t>
            </w:r>
          </w:p>
        </w:tc>
        <w:tc>
          <w:tcPr>
            <w:tcW w:type="pct" w:w="1350"/>
            <w:shd w:fill="1F4E7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FFFFFF"/>
              </w:rPr>
              <w:t xml:space="preserve">Document, section</w:t>
            </w:r>
          </w:p>
        </w:tc>
        <w:tc>
          <w:tcPr>
            <w:tcW w:type="pct" w:w="1450"/>
            <w:shd w:fill="1F4E7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FFFFFF"/>
              </w:rPr>
              <w:t xml:space="preserve">Réponse attendue</w:t>
            </w:r>
          </w:p>
        </w:tc>
        <w:tc>
          <w:tcPr>
            <w:tcW w:type="pct" w:w="1700"/>
            <w:shd w:fill="1F4E7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FFFFFF"/>
              </w:rPr>
              <w:t xml:space="preserve">Source</w:t>
            </w:r>
          </w:p>
        </w:tc>
      </w:tr>
      <w:tr>
        <w:tc>
          <w:tcPr>
            <w:tcW w:type="pct" w:w="5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</w:t>
            </w:r>
          </w:p>
        </w:tc>
        <w:tc>
          <w:tcPr>
            <w:tcW w:type="pct" w:w="13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D01 §1 Ce qu’est le harcèlement sexuel (I)</w:t>
            </w:r>
          </w:p>
        </w:tc>
        <w:tc>
          <w:tcPr>
            <w:tcW w:type="pct" w:w="14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d) Un nom et un numéro de téléphone</w:t>
            </w:r>
          </w:p>
        </w:tc>
        <w:tc>
          <w:tcPr>
            <w:tcW w:type="pct" w:w="1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modele-affichage-harcelement-sexuel.pdf, p. 1</w:t>
            </w:r>
          </w:p>
        </w:tc>
      </w:tr>
      <w:tr>
        <w:tc>
          <w:tcPr>
            <w:tcW w:type="pct" w:w="5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</w:t>
            </w:r>
          </w:p>
        </w:tc>
        <w:tc>
          <w:tcPr>
            <w:tcW w:type="pct" w:w="13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D01 §1 Ce qu’est le harcèlement sexuel (I)</w:t>
            </w:r>
          </w:p>
        </w:tc>
        <w:tc>
          <w:tcPr>
            <w:tcW w:type="pct" w:w="14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d) L’infraction peut être constituée, même sans concertation entre eux</w:t>
            </w:r>
          </w:p>
        </w:tc>
        <w:tc>
          <w:tcPr>
            <w:tcW w:type="pct" w:w="1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modele-affichage-harcelement-sexuel.pdf, p. 1</w:t>
            </w:r>
          </w:p>
        </w:tc>
      </w:tr>
      <w:tr>
        <w:tc>
          <w:tcPr>
            <w:tcW w:type="pct" w:w="5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</w:t>
            </w:r>
          </w:p>
        </w:tc>
        <w:tc>
          <w:tcPr>
            <w:tcW w:type="pct" w:w="13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D01 §2 Ce qui lui est assimilé (II)</w:t>
            </w:r>
          </w:p>
        </w:tc>
        <w:tc>
          <w:tcPr>
            <w:tcW w:type="pct" w:w="14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d) Quatre</w:t>
            </w:r>
          </w:p>
        </w:tc>
        <w:tc>
          <w:tcPr>
            <w:tcW w:type="pct" w:w="1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modele-affichage-harcelement-sexuel.pdf, p. 1</w:t>
            </w:r>
          </w:p>
        </w:tc>
      </w:tr>
      <w:tr>
        <w:tc>
          <w:tcPr>
            <w:tcW w:type="pct" w:w="5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</w:t>
            </w:r>
          </w:p>
        </w:tc>
        <w:tc>
          <w:tcPr>
            <w:tcW w:type="pct" w:w="13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D01 §3 Les peines (III)</w:t>
            </w:r>
          </w:p>
        </w:tc>
        <w:tc>
          <w:tcPr>
            <w:tcW w:type="pct" w:w="14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b) Le référent harcèlement du CSE</w:t>
            </w:r>
          </w:p>
        </w:tc>
        <w:tc>
          <w:tcPr>
            <w:tcW w:type="pct" w:w="1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modele-affichage-harcelement-sexuel.pdf, p. 1</w:t>
            </w:r>
          </w:p>
        </w:tc>
      </w:tr>
      <w:tr>
        <w:tc>
          <w:tcPr>
            <w:tcW w:type="pct" w:w="5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</w:t>
            </w:r>
          </w:p>
        </w:tc>
        <w:tc>
          <w:tcPr>
            <w:tcW w:type="pct" w:w="13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D01 §3 Les peines (III)</w:t>
            </w:r>
          </w:p>
        </w:tc>
        <w:tc>
          <w:tcPr>
            <w:tcW w:type="pct" w:w="14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c) Agent de contrôle compétent</w:t>
            </w:r>
          </w:p>
        </w:tc>
        <w:tc>
          <w:tcPr>
            <w:tcW w:type="pct" w:w="1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modele-affichage-harcelement-sexuel.pdf, p. 1</w:t>
            </w:r>
          </w:p>
        </w:tc>
      </w:tr>
      <w:tr>
        <w:tc>
          <w:tcPr>
            <w:tcW w:type="pct" w:w="5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</w:t>
            </w:r>
          </w:p>
        </w:tc>
        <w:tc>
          <w:tcPr>
            <w:tcW w:type="pct" w:w="13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D01 §4 Qui contacter</w:t>
            </w:r>
          </w:p>
        </w:tc>
        <w:tc>
          <w:tcPr>
            <w:tcW w:type="pct" w:w="14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c) Le médecin du travail / service de santé au travail</w:t>
            </w:r>
          </w:p>
        </w:tc>
        <w:tc>
          <w:tcPr>
            <w:tcW w:type="pct" w:w="1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modele-affichage-harcelement-sexuel.pdf, p. 1</w:t>
            </w:r>
          </w:p>
        </w:tc>
      </w:tr>
      <w:tr>
        <w:tc>
          <w:tcPr>
            <w:tcW w:type="pct" w:w="5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</w:t>
            </w:r>
          </w:p>
        </w:tc>
        <w:tc>
          <w:tcPr>
            <w:tcW w:type="pct" w:w="13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D01 §4 Qui contacter</w:t>
            </w:r>
          </w:p>
        </w:tc>
        <w:tc>
          <w:tcPr>
            <w:tcW w:type="pct" w:w="14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renseignements (accepté aussi : renseignement)</w:t>
            </w:r>
          </w:p>
        </w:tc>
        <w:tc>
          <w:tcPr>
            <w:tcW w:type="pct" w:w="1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modele-affichage-harcelement-sexuel.pdf, p. 1</w:t>
            </w:r>
          </w:p>
        </w:tc>
      </w:tr>
      <w:tr>
        <w:tc>
          <w:tcPr>
            <w:tcW w:type="pct" w:w="5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</w:t>
            </w:r>
          </w:p>
        </w:tc>
        <w:tc>
          <w:tcPr>
            <w:tcW w:type="pct" w:w="13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D01 §5 Agir en justice</w:t>
            </w:r>
          </w:p>
        </w:tc>
        <w:tc>
          <w:tcPr>
            <w:tcW w:type="pct" w:w="14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c) Saisir le conseil de prud’hommes pour manquement de l’employeur</w:t>
            </w:r>
          </w:p>
        </w:tc>
        <w:tc>
          <w:tcPr>
            <w:tcW w:type="pct" w:w="1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modele-affichage-harcelement-sexuel.pdf, p. 1</w:t>
            </w:r>
          </w:p>
        </w:tc>
      </w:tr>
      <w:tr>
        <w:tc>
          <w:tcPr>
            <w:tcW w:type="pct" w:w="5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</w:t>
            </w:r>
          </w:p>
        </w:tc>
        <w:tc>
          <w:tcPr>
            <w:tcW w:type="pct" w:w="13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D02 §1 Objet du document</w:t>
            </w:r>
          </w:p>
        </w:tc>
        <w:tc>
          <w:tcPr>
            <w:tcW w:type="pct" w:w="14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b) Un document unique</w:t>
            </w:r>
          </w:p>
        </w:tc>
        <w:tc>
          <w:tcPr>
            <w:tcW w:type="pct" w:w="1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modele-informations-principales-relation-de-travail.pdf, p. 1</w:t>
            </w:r>
          </w:p>
        </w:tc>
      </w:tr>
      <w:tr>
        <w:tc>
          <w:tcPr>
            <w:tcW w:type="pct" w:w="5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</w:t>
            </w:r>
          </w:p>
        </w:tc>
        <w:tc>
          <w:tcPr>
            <w:tcW w:type="pct" w:w="13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D02 §2 Période d’essai (VII)</w:t>
            </w:r>
          </w:p>
        </w:tc>
        <w:tc>
          <w:tcPr>
            <w:tcW w:type="pct" w:w="14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b) Celui de la rupture à l’initiative du salarié</w:t>
            </w:r>
          </w:p>
        </w:tc>
        <w:tc>
          <w:tcPr>
            <w:tcW w:type="pct" w:w="1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modele-informations-principales-relation-de-travail.pdf, p. 1</w:t>
            </w:r>
          </w:p>
        </w:tc>
      </w:tr>
      <w:tr>
        <w:tc>
          <w:tcPr>
            <w:tcW w:type="pct" w:w="5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</w:t>
            </w:r>
          </w:p>
        </w:tc>
        <w:tc>
          <w:tcPr>
            <w:tcW w:type="pct" w:w="13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D02 §3 Formation professionnelle (VIII)</w:t>
            </w:r>
          </w:p>
        </w:tc>
        <w:tc>
          <w:tcPr>
            <w:tcW w:type="pct" w:w="14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XX</w:t>
            </w:r>
          </w:p>
        </w:tc>
        <w:tc>
          <w:tcPr>
            <w:tcW w:type="pct" w:w="1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modele-informations-principales-relation-de-travail.pdf, p. 2</w:t>
            </w:r>
          </w:p>
        </w:tc>
      </w:tr>
      <w:tr>
        <w:tc>
          <w:tcPr>
            <w:tcW w:type="pct" w:w="5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</w:t>
            </w:r>
          </w:p>
        </w:tc>
        <w:tc>
          <w:tcPr>
            <w:tcW w:type="pct" w:w="13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D02 §4 Rupture du contrat et statut protecteur (X)</w:t>
            </w:r>
          </w:p>
        </w:tc>
        <w:tc>
          <w:tcPr>
            <w:tcW w:type="pct" w:w="14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d) Un mandat non visé dans le Code du travail</w:t>
            </w:r>
          </w:p>
        </w:tc>
        <w:tc>
          <w:tcPr>
            <w:tcW w:type="pct" w:w="1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modele-informations-principales-relation-de-travail.pdf, p. 3</w:t>
            </w:r>
          </w:p>
        </w:tc>
      </w:tr>
      <w:tr>
        <w:tc>
          <w:tcPr>
            <w:tcW w:type="pct" w:w="5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</w:t>
            </w:r>
          </w:p>
        </w:tc>
        <w:tc>
          <w:tcPr>
            <w:tcW w:type="pct" w:w="13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D02 §5 Documents de fin de contrat (X)</w:t>
            </w:r>
          </w:p>
        </w:tc>
        <w:tc>
          <w:tcPr>
            <w:tcW w:type="pct" w:w="14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b) Trois fois</w:t>
            </w:r>
          </w:p>
        </w:tc>
        <w:tc>
          <w:tcPr>
            <w:tcW w:type="pct" w:w="1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modele-informations-principales-relation-de-travail.pdf, p. 3</w:t>
            </w:r>
          </w:p>
        </w:tc>
      </w:tr>
      <w:tr>
        <w:tc>
          <w:tcPr>
            <w:tcW w:type="pct" w:w="5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</w:t>
            </w:r>
          </w:p>
        </w:tc>
        <w:tc>
          <w:tcPr>
            <w:tcW w:type="pct" w:w="13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D02 §6 Recours du salarié (X)</w:t>
            </w:r>
          </w:p>
        </w:tc>
        <w:tc>
          <w:tcPr>
            <w:tcW w:type="pct" w:w="14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dix (accepté aussi : X, 10)</w:t>
            </w:r>
          </w:p>
        </w:tc>
        <w:tc>
          <w:tcPr>
            <w:tcW w:type="pct" w:w="1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modele-informations-principales-relation-de-travail.pdf, p. 2</w:t>
            </w:r>
          </w:p>
        </w:tc>
      </w:tr>
      <w:tr>
        <w:tc>
          <w:tcPr>
            <w:tcW w:type="pct" w:w="5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</w:t>
            </w:r>
          </w:p>
        </w:tc>
        <w:tc>
          <w:tcPr>
            <w:tcW w:type="pct" w:w="13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D02 §7 Rémunération (XI)</w:t>
            </w:r>
          </w:p>
        </w:tc>
        <w:tc>
          <w:tcPr>
            <w:tcW w:type="pct" w:w="14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c) Au salarié en contrat de travail intermittent</w:t>
            </w:r>
          </w:p>
        </w:tc>
        <w:tc>
          <w:tcPr>
            <w:tcW w:type="pct" w:w="1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modele-informations-principales-relation-de-travail.pdf, p. 4</w:t>
            </w:r>
          </w:p>
        </w:tc>
      </w:tr>
      <w:tr>
        <w:tc>
          <w:tcPr>
            <w:tcW w:type="pct" w:w="5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</w:t>
            </w:r>
          </w:p>
        </w:tc>
        <w:tc>
          <w:tcPr>
            <w:tcW w:type="pct" w:w="13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D02 §8 Protection sociale (XIV)</w:t>
            </w:r>
          </w:p>
        </w:tc>
        <w:tc>
          <w:tcPr>
            <w:tcW w:type="pct" w:w="14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d) Les régimes obligatoires auxquels vous êtes affilié</w:t>
            </w:r>
          </w:p>
        </w:tc>
        <w:tc>
          <w:tcPr>
            <w:tcW w:type="pct" w:w="1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modele-informations-principales-relation-de-travail.pdf, p. 5</w:t>
            </w:r>
          </w:p>
        </w:tc>
      </w:tr>
    </w:tbl>
    <w:p>
      <w:pPr>
        <w:spacing w:after="60"/>
      </w:pPr>
    </w:p>
    <w:p>
      <w:pPr>
        <w:pStyle w:val="Heading2"/>
        <w:spacing w:after="120" w:before="240"/>
      </w:pPr>
      <w:r>
        <w:t xml:space="preserve">Passages cités et points à revoir</w:t>
      </w:r>
    </w:p>
    <w:p>
      <w:pPr>
        <w:spacing w:after="120"/>
      </w:pPr>
      <w:r>
        <w:rPr>
          <w:b/>
          <w:bCs/>
        </w:rPr>
        <w:t xml:space="preserve">1.</w:t>
      </w:r>
      <w:r>
        <w:t xml:space="preserve"> « Le médecin du travail / service de santé au travail Nom : ........................................... Tél. : » (modele-affichage-harcelement-sexuel.pdf, p. 1)</w:t>
      </w:r>
    </w:p>
    <w:p>
      <w:pPr>
        <w:spacing w:after="120"/>
      </w:pPr>
      <w:r>
        <w:t xml:space="preserve">Si la réponse est fausse : Sous le médecin du travail, l’inspection du travail et les deux référents, l’affiche laisse deux lignes à remplir : « Nom » et « Tél. ».</w:t>
      </w:r>
    </w:p>
    <w:p>
      <w:pPr>
        <w:spacing w:after="120"/>
      </w:pPr>
      <w:r>
        <w:rPr>
          <w:b/>
          <w:bCs/>
        </w:rPr>
        <w:t xml:space="preserve">2.</w:t>
      </w:r>
      <w:r>
        <w:t xml:space="preserve"> « par plusieurs personnes qui, même en l'absence de concertation, savent que ces propos ou comportements caractérisent une répétition » (modele-affichage-harcelement-sexuel.pdf, p. 1)</w:t>
      </w:r>
    </w:p>
    <w:p>
      <w:pPr>
        <w:spacing w:after="120"/>
      </w:pPr>
      <w:r>
        <w:t xml:space="preserve">Si la réponse est fausse : Relire le 2° du I : la répétition peut venir de plusieurs personnes.</w:t>
      </w:r>
    </w:p>
    <w:p>
      <w:pPr>
        <w:spacing w:after="120"/>
      </w:pPr>
      <w:r>
        <w:rPr>
          <w:b/>
          <w:bCs/>
        </w:rPr>
        <w:t xml:space="preserve">3.</w:t>
      </w:r>
      <w:r>
        <w:t xml:space="preserve"> « Pour des renseignements ou être accompagné dans vos démarches, vous pouvez contacter : » (modele-affichage-harcelement-sexuel.pdf, p. 1)</w:t>
      </w:r>
    </w:p>
    <w:p>
      <w:pPr>
        <w:spacing w:after="120"/>
      </w:pPr>
      <w:r>
        <w:t xml:space="preserve">Si la réponse est fausse : Quatre contacts ont des lignes « Nom / Tél. » à remplir par l’employeur : le médecin du travail, l’inspection du travail et les deux référents ; seul le Défenseur des droits a son numéro et son adresse imprimés.</w:t>
      </w:r>
    </w:p>
    <w:p>
      <w:pPr>
        <w:spacing w:after="120"/>
      </w:pPr>
      <w:r>
        <w:rPr>
          <w:b/>
          <w:bCs/>
        </w:rPr>
        <w:t xml:space="preserve">4.</w:t>
      </w:r>
      <w:r>
        <w:t xml:space="preserve"> « Le référent « lutte contre le harcèlement sexuel et les agissements sexistes » du Comité social et économique (Si votre entreprise est doté d’un CSE – article L. 2314-1 du code du travail) » (modele-affichage-harcelement-sexuel.pdf, p. 1)</w:t>
      </w:r>
    </w:p>
    <w:p>
      <w:pPr>
        <w:spacing w:after="120"/>
      </w:pPr>
      <w:r>
        <w:t xml:space="preserve">Si la réponse est fausse : Ordre des contacts : médecin du travail, inspection du travail, Défenseur des droits, référent de l’entreprise, référent du CSE, puis « Pour agir en justice ».</w:t>
      </w:r>
    </w:p>
    <w:p>
      <w:pPr>
        <w:spacing w:after="120"/>
      </w:pPr>
      <w:r>
        <w:rPr>
          <w:b/>
          <w:bCs/>
        </w:rPr>
        <w:t xml:space="preserve">5.</w:t>
      </w:r>
      <w:r>
        <w:t xml:space="preserve"> « L’inspection du travail (agent de contrôle compétent) Nom : ........................................... Tél. : » (modele-affichage-harcelement-sexuel.pdf, p. 1)</w:t>
      </w:r>
    </w:p>
    <w:p>
      <w:pPr>
        <w:spacing w:after="120"/>
      </w:pPr>
      <w:r>
        <w:t xml:space="preserve">Si la réponse est fausse : Pour l’inspection du travail, le nom et le téléphone à indiquer sont ceux de l’agent de contrôle compétent pour l’établissement.</w:t>
      </w:r>
    </w:p>
    <w:p>
      <w:pPr>
        <w:spacing w:after="120"/>
      </w:pPr>
      <w:r>
        <w:rPr>
          <w:b/>
          <w:bCs/>
        </w:rPr>
        <w:t xml:space="preserve">6.</w:t>
      </w:r>
      <w:r>
        <w:t xml:space="preserve"> « Le médecin du travail / service de santé au travail » (modele-affichage-harcelement-sexuel.pdf, p. 1)</w:t>
      </w:r>
    </w:p>
    <w:p>
      <w:pPr>
        <w:spacing w:after="120"/>
      </w:pPr>
      <w:r>
        <w:t xml:space="preserve">Si la réponse est fausse : Ordre de l’affiche : médecin du travail, inspection du travail, Défenseur des droits, référent de l’entreprise, référent du CSE.</w:t>
      </w:r>
    </w:p>
    <w:p>
      <w:pPr>
        <w:spacing w:after="120"/>
      </w:pPr>
      <w:r>
        <w:rPr>
          <w:b/>
          <w:bCs/>
        </w:rPr>
        <w:t xml:space="preserve">7.</w:t>
      </w:r>
      <w:r>
        <w:t xml:space="preserve"> « Pour des renseignements ou être accompagné dans vos démarches, vous pouvez contacter : » (modele-affichage-harcelement-sexuel.pdf, p. 1)</w:t>
      </w:r>
    </w:p>
    <w:p>
      <w:pPr>
        <w:spacing w:after="120"/>
      </w:pPr>
      <w:r>
        <w:t xml:space="preserve">Si la réponse est fausse : Relire la phrase qui ouvre la liste : on peut appeler ces contacts pour se renseigner, sans engager de démarche.</w:t>
      </w:r>
    </w:p>
    <w:p>
      <w:pPr>
        <w:spacing w:after="120"/>
      </w:pPr>
      <w:r>
        <w:rPr>
          <w:b/>
          <w:bCs/>
        </w:rPr>
        <w:t xml:space="preserve">8.</w:t>
      </w:r>
      <w:r>
        <w:t xml:space="preserve"> « Pour agir en justice, Vous pouvez : • Saisir le Conseil des prud’hommes pour manquement de l’employeur à ses obligations » (modele-affichage-harcelement-sexuel.pdf, p. 1)</w:t>
      </w:r>
    </w:p>
    <w:p>
      <w:pPr>
        <w:spacing w:after="120"/>
      </w:pPr>
      <w:r>
        <w:t xml:space="preserve">Si la réponse est fausse : L’affiche cite d’abord les prud’hommes, puis la plainte (commissariat, gendarmerie, ou lettre au procureur).</w:t>
      </w:r>
    </w:p>
    <w:p>
      <w:pPr>
        <w:spacing w:after="120"/>
      </w:pPr>
      <w:r>
        <w:rPr>
          <w:b/>
          <w:bCs/>
        </w:rPr>
        <w:t xml:space="preserve">9.</w:t>
      </w:r>
      <w:r>
        <w:t xml:space="preserve"> « INFORMATIONS PRINCIPALES RELATIVES À LA RELATION DE TRAVAIL DELIVRÉES AU SALARIÉ (document unique) » (modele-informations-principales-relation-de-travail.pdf, p. 1)</w:t>
      </w:r>
    </w:p>
    <w:p>
      <w:pPr>
        <w:spacing w:after="120"/>
      </w:pPr>
      <w:r>
        <w:t xml:space="preserve">Si la réponse est fausse : Relire le titre : toutes les informations sont réunies dans un document unique.</w:t>
      </w:r>
    </w:p>
    <w:p>
      <w:pPr>
        <w:spacing w:after="120"/>
      </w:pPr>
      <w:r>
        <w:rPr>
          <w:b/>
          <w:bCs/>
        </w:rPr>
        <w:t xml:space="preserve">10.</w:t>
      </w:r>
      <w:r>
        <w:t xml:space="preserve"> « Délai de prévenance en cas de rupture du contrat à l'initiative du salarié » (modele-informations-principales-relation-de-travail.pdf, p. 1)</w:t>
      </w:r>
    </w:p>
    <w:p>
      <w:pPr>
        <w:spacing w:after="120"/>
      </w:pPr>
      <w:r>
        <w:t xml:space="preserve">Si la réponse est fausse : Relire la fin du VII : délai du salarié (page 1), puis délai de l’employeur (page 2).</w:t>
      </w:r>
    </w:p>
    <w:p>
      <w:pPr>
        <w:spacing w:after="120"/>
      </w:pPr>
      <w:r>
        <w:rPr>
          <w:b/>
          <w:bCs/>
        </w:rPr>
        <w:t xml:space="preserve">11.</w:t>
      </w:r>
      <w:r>
        <w:t xml:space="preserve"> « conformément à l'article L. 6321-1 du Code du travail : « XX » » (modele-informations-principales-relation-de-travail.pdf, p. 2)</w:t>
      </w:r>
    </w:p>
    <w:p>
      <w:pPr>
        <w:spacing w:after="120"/>
      </w:pPr>
      <w:r>
        <w:t xml:space="preserve">Si la réponse est fausse : Relire le VIII : « XX » est la case que l’employeur remplit avec ses actions de formation.</w:t>
      </w:r>
    </w:p>
    <w:p>
      <w:pPr>
        <w:spacing w:after="120"/>
      </w:pPr>
      <w:r>
        <w:rPr>
          <w:b/>
          <w:bCs/>
        </w:rPr>
        <w:t xml:space="preserve">12.</w:t>
      </w:r>
      <w:r>
        <w:t xml:space="preserve"> « Ces modalités relatives à la communication de la procédure adéquate s’appliquent si le salarié bénéficie du statut protecteur au titre d’un mandat non visé dans le Code du travail. » (modele-informations-principales-relation-de-travail.pdf, p. 3)</w:t>
      </w:r>
    </w:p>
    <w:p>
      <w:pPr>
        <w:spacing w:after="120"/>
      </w:pPr>
      <w:r>
        <w:t xml:space="preserve">Si la réponse est fausse : Relire la fin des paragraphes sur le statut protecteur (X).</w:t>
      </w:r>
    </w:p>
    <w:p>
      <w:pPr>
        <w:spacing w:after="120"/>
      </w:pPr>
      <w:r>
        <w:rPr>
          <w:b/>
          <w:bCs/>
        </w:rPr>
        <w:t xml:space="preserve">13.</w:t>
      </w:r>
      <w:r>
        <w:t xml:space="preserve"> « Documents de fin de contrat que doit remettre l'employeur au salarié lors de la rupture du contrat » (modele-informations-principales-relation-de-travail.pdf, p. 3)</w:t>
      </w:r>
    </w:p>
    <w:p>
      <w:pPr>
        <w:spacing w:after="120"/>
      </w:pPr>
      <w:r>
        <w:t xml:space="preserve">Si la réponse est fausse : Elle revient dans chaque option : CDI, CDD et contrat d’apprentissage (pages 3 et 4).</w:t>
      </w:r>
    </w:p>
    <w:p>
      <w:pPr>
        <w:spacing w:after="120"/>
      </w:pPr>
      <w:r>
        <w:rPr>
          <w:b/>
          <w:bCs/>
        </w:rPr>
        <w:t xml:space="preserve">14.</w:t>
      </w:r>
      <w:r>
        <w:t xml:space="preserve"> « X. - Rupture du contrat (Option 1 – Si le salarié est en contrat à durée indéterminée) » (modele-informations-principales-relation-de-travail.pdf, p. 2)</w:t>
      </w:r>
    </w:p>
    <w:p>
      <w:pPr>
        <w:spacing w:after="120"/>
      </w:pPr>
      <w:r>
        <w:t xml:space="preserve">Si la réponse est fausse : Le paragraphe « Recours du salarié » (douze mois à compter de la notification) est dans la partie X, Rupture du contrat, option 1 CDI (page 3) : il n’est pas repris dans les options CDD et apprentissage.</w:t>
      </w:r>
    </w:p>
    <w:p>
      <w:pPr>
        <w:spacing w:after="120"/>
      </w:pPr>
      <w:r>
        <w:rPr>
          <w:b/>
          <w:bCs/>
        </w:rPr>
        <w:t xml:space="preserve">15.</w:t>
      </w:r>
      <w:r>
        <w:t xml:space="preserve"> « (Option 3 – Le salarié est en contrat de travail intermittent) » (modele-informations-principales-relation-de-travail.pdf, p. 4)</w:t>
      </w:r>
    </w:p>
    <w:p>
      <w:pPr>
        <w:spacing w:after="120"/>
      </w:pPr>
      <w:r>
        <w:t xml:space="preserve">Si la réponse est fausse : Relire le XI : option 1 mensualisé, option 2 non-mensualisé, option 3 contrat intermittent.</w:t>
      </w:r>
    </w:p>
    <w:p>
      <w:pPr>
        <w:spacing w:after="120"/>
      </w:pPr>
      <w:r>
        <w:rPr>
          <w:b/>
          <w:bCs/>
        </w:rPr>
        <w:t xml:space="preserve">16.</w:t>
      </w:r>
      <w:r>
        <w:t xml:space="preserve"> « Régimes obligatoires auxquels est affilié le salarié » (modele-informations-principales-relation-de-travail.pdf, p. 5)</w:t>
      </w:r>
    </w:p>
    <w:p>
      <w:pPr>
        <w:spacing w:after="120"/>
      </w:pPr>
      <w:r>
        <w:t xml:space="preserve">Si la réponse est fausse : Relire le XIV : régime de base, chômage, retraite complémentaire, protection sociale complémentaire.</w:t>
      </w:r>
    </w:p>
    <w:sectPr>
      <w:headerReference w:type="default" r:id="rId6"/>
      <w:footerReference w:type="default" r:id="rId7"/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F7F7F"/>
        <w:sz w:val="16"/>
        <w:szCs w:val="16"/>
      </w:rPr>
      <w:t xml:space="preserve">Lu et Retenu – READ FRANCE SAS – exemple-modeles-officiels — page </w:t>
    </w:r>
    <w:r>
      <w:rPr>
        <w:color w:val="7F7F7F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7F7F7F"/>
        <w:sz w:val="16"/>
        <w:szCs w:val="16"/>
      </w:rPr>
      <w:t xml:space="preserve">Corrigé – Documents remis à l’embauche (exemple sur deux modèles officiels)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360" w:hanging="260"/>
      </w:pPr>
    </w:lvl>
    <w:lvl w:ilvl="1" w:tentative="1">
      <w:start w:val="1"/>
      <w:numFmt w:val="decimal"/>
      <w:lvlText w:val="%2."/>
      <w:lvlJc w:val="left"/>
      <w:pPr>
        <w:ind w:left="720" w:hanging="260"/>
      </w:pPr>
    </w:lvl>
    <w:lvl w:ilvl="2" w:tentative="1">
      <w:start w:val="1"/>
      <w:numFmt w:val="decimal"/>
      <w:lvlText w:val="%3."/>
      <w:lvlJc w:val="left"/>
      <w:pPr>
        <w:ind w:left="1080" w:hanging="260"/>
      </w:pPr>
    </w:lvl>
    <w:lvl w:ilvl="3" w:tentative="1">
      <w:start w:val="1"/>
      <w:numFmt w:val="decimal"/>
      <w:lvlText w:val="%4."/>
      <w:lvlJc w:val="left"/>
      <w:pPr>
        <w:ind w:left="144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rPr>
      <w:b/>
      <w:bCs/>
      <w:color w:val="1F4E79"/>
      <w:sz w:val="34"/>
      <w:szCs w:val="34"/>
    </w:rPr>
  </w:style>
  <w:style w:type="paragraph" w:styleId="Heading2">
    <w:name w:val="Heading 2"/>
    <w:basedOn w:val="Normal"/>
    <w:next w:val="Normal"/>
    <w:qFormat/>
    <w:rPr>
      <w:b/>
      <w:bCs/>
      <w:color w:val="1F4E79"/>
      <w:sz w:val="27"/>
      <w:szCs w:val="27"/>
    </w:rPr>
  </w:style>
  <w:style w:type="paragraph" w:styleId="Heading3">
    <w:name w:val="Heading 3"/>
    <w:basedOn w:val="Normal"/>
    <w:next w:val="Normal"/>
    <w:qFormat/>
    <w:rPr>
      <w:b/>
      <w:bCs/>
      <w:color w:val="2E2E2E"/>
      <w:sz w:val="23"/>
      <w:szCs w:val="23"/>
    </w:rPr>
  </w:style>
  <w:style w:type="paragraph" w:styleId="Heading4">
    <w:name w:val="Heading 4"/>
    <w:basedOn w:val="Normal"/>
    <w:next w:val="Normal"/>
    <w:qFormat/>
    <w:rPr>
      <w:b/>
      <w:bCs/>
      <w:sz w:val="21"/>
      <w:szCs w:val="21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Corrigé – Documents remis à l’embauche (exemple sur deux modèles officiels)</dc:title>
  <dc:creator>READ FRANCE SAS</dc:creator>
  <dc:description>Lu et Retenu – READ FRANCE SAS</dc:description>
  <cp:lastModifiedBy>Un-named</cp:lastModifiedBy>
  <cp:revision>1</cp:revision>
  <dcterms:created xsi:type="dcterms:W3CDTF">2026-10-16T19:35:25.599Z</dcterms:created>
  <dcterms:modified xsi:type="dcterms:W3CDTF">2026-10-16T19:35:25.599Z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