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Questionnaire de lecture : Documents remis à l’embauche (exemple sur deux modèles officiels)</w:t>
      </w:r>
    </w:p>
    <w:p>
      <w:pPr>
        <w:spacing w:after="120"/>
      </w:pPr>
      <w:r>
        <w:rPr>
          <w:b/>
          <w:bCs/>
        </w:rPr>
        <w:t xml:space="preserve">Pour :</w:t>
      </w:r>
      <w:r>
        <w:t xml:space="preserve"> nouveaux salariés et stagiaires · </w:t>
      </w:r>
      <w:r>
        <w:rPr>
          <w:b/>
          <w:bCs/>
        </w:rPr>
        <w:t xml:space="preserve">Documents :</w:t>
      </w:r>
      <w:r>
        <w:t xml:space="preserve"> D01 Affichage obligatoire : lutte contre le harcèlement sexuel ; D02 Informations principales relatives à la relation de travail · </w:t>
      </w:r>
      <w:r>
        <w:rPr>
          <w:b/>
          <w:bCs/>
        </w:rPr>
        <w:t xml:space="preserve">Version :</w:t>
      </w:r>
      <w:r>
        <w:t xml:space="preserve"> exemple-modeles-officiels, 14/10/2026</w:t>
      </w:r>
    </w:p>
    <w:p>
      <w:pPr>
        <w:pBdr>
          <w:left w:val="single" w:color="1F4E79" w:sz="18" w:space="8"/>
        </w:pBdr>
        <w:shd w:fill="EAF1F8" w:color="auto" w:val="clear"/>
        <w:spacing w:after="120"/>
        <w:ind w:left="200" w:right="200"/>
      </w:pPr>
      <w:r>
        <w:rPr>
          <w:color w:val="1F3A5F"/>
        </w:rPr>
        <w:t xml:space="preserve">Lisez d’abord les documents remis. Répondez ensuite sans les avoir sous les yeux, en 15 minutes environ. Ce questionnaire ne sert pas à vous noter : une réponse fausse montre seulement un passage à revoir ensemble. Cochez une seule case par question ; écrivez un seul mot quand c’est demandé.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6"/>
        <w:gridCol w:w="4214"/>
      </w:tblGrid>
      <w:tr>
        <w:tc>
          <w:tcPr>
            <w:tcW w:type="pct" w:w="2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Nom, prénom</w:t>
            </w:r>
          </w:p>
        </w:tc>
        <w:tc>
          <w:tcPr>
            <w:tcW w:type="pct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</w:p>
        </w:tc>
      </w:tr>
      <w:tr>
        <w:tc>
          <w:tcPr>
            <w:tcW w:type="pct" w:w="2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Fonction ou session</w:t>
            </w:r>
          </w:p>
        </w:tc>
        <w:tc>
          <w:tcPr>
            <w:tcW w:type="pct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</w:p>
        </w:tc>
      </w:tr>
      <w:tr>
        <w:tc>
          <w:tcPr>
            <w:tcW w:type="pct" w:w="2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Documents reçus le</w:t>
            </w:r>
          </w:p>
        </w:tc>
        <w:tc>
          <w:tcPr>
            <w:tcW w:type="pct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highlight w:val="yellow"/>
              </w:rPr>
              <w:t xml:space="preserve">[JJ/MM/AAAA]</w:t>
            </w:r>
          </w:p>
        </w:tc>
      </w:tr>
      <w:tr>
        <w:tc>
          <w:tcPr>
            <w:tcW w:type="pct" w:w="2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Questionnaire rempli le</w:t>
            </w:r>
          </w:p>
        </w:tc>
        <w:tc>
          <w:tcPr>
            <w:tcW w:type="pct" w:w="2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highlight w:val="yellow"/>
              </w:rPr>
              <w:t xml:space="preserve">[JJ/MM/AAAA]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D01 Affichage obligatoire : lutte contre le harcèlement sexuel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D’après l’affichage, des propos ou comportements à connotation sexuelle ou sexiste relèvent du harcèlement sexuel lorsqu’ils sont imposés à une personne…</w:t>
      </w:r>
    </w:p>
    <w:p>
      <w:pPr>
        <w:spacing w:after="120"/>
      </w:pPr>
      <w:r>
        <w:t xml:space="preserve">☐ a) devant au moins deux témoins</w:t>
      </w:r>
      <w:r>
        <w:br/>
        <w:t xml:space="preserve"/>
      </w:r>
      <w:r>
        <w:t xml:space="preserve">☐ b) uniquement pendant les heures de travail</w:t>
      </w:r>
      <w:r>
        <w:br/>
        <w:t xml:space="preserve"/>
      </w:r>
      <w:r>
        <w:t xml:space="preserve">☐ c) uniquement par un supérieur hiérarchique</w:t>
      </w:r>
      <w:r>
        <w:br/>
        <w:t xml:space="preserve"/>
      </w:r>
      <w:r>
        <w:t xml:space="preserve">☐ d) de façon répétée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Plusieurs collègues font chacun une seule remarque de ce type à la même personne, en sachant que d’autres l’ont déjà faite. Que dit l’affichage ?</w:t>
      </w:r>
    </w:p>
    <w:p>
      <w:pPr>
        <w:spacing w:after="120"/>
      </w:pPr>
      <w:r>
        <w:t xml:space="preserve">☐ a) Seul le premier auteur peut être concerné</w:t>
      </w:r>
      <w:r>
        <w:br/>
        <w:t xml:space="preserve"/>
      </w:r>
      <w:r>
        <w:t xml:space="preserve">☐ b) Il faut que la victime ait porté plainte avant</w:t>
      </w:r>
      <w:r>
        <w:br/>
        <w:t xml:space="preserve"/>
      </w:r>
      <w:r>
        <w:t xml:space="preserve">☐ c) Il n’y a rien à signaler puisque chacun n’a parlé qu’une fois</w:t>
      </w:r>
      <w:r>
        <w:br/>
        <w:t xml:space="preserve"/>
      </w:r>
      <w:r>
        <w:t xml:space="preserve">☐ d) L’infraction peut être constituée, même sans concertation entre eux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Même sans répétition, un acte est assimilé au harcèlement sexuel s’il consiste à user d’une pression d’un certain type pour obtenir un acte de nature sexuelle. Quel adjectif l’affichage emploie-t-il pour cette pression ? (un mot)</w:t>
      </w:r>
    </w:p>
    <w:p>
      <w:pPr>
        <w:spacing w:after="120"/>
      </w:pPr>
      <w:r>
        <w:t xml:space="preserve">Réponse (un mot) : ………………………………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Quelle peine l’affichage indique-t-il pour les faits décrits aux I et II, hors circonstances aggravantes ?</w:t>
      </w:r>
    </w:p>
    <w:p>
      <w:pPr>
        <w:spacing w:after="120"/>
      </w:pPr>
      <w:r>
        <w:t xml:space="preserve">☐ a) Cinq ans d’emprisonnement et 75 000 € d’amende</w:t>
      </w:r>
      <w:r>
        <w:br/>
        <w:t xml:space="preserve"/>
      </w:r>
      <w:r>
        <w:t xml:space="preserve">☐ b) Deux ans d’emprisonnement et 30 000 € d’amende</w:t>
      </w:r>
      <w:r>
        <w:br/>
        <w:t xml:space="preserve"/>
      </w:r>
      <w:r>
        <w:t xml:space="preserve">☐ c) Six mois d’emprisonnement et 5 000 € d’amende</w:t>
      </w:r>
      <w:r>
        <w:br/>
        <w:t xml:space="preserve"/>
      </w:r>
      <w:r>
        <w:t xml:space="preserve">☐ d) Un avertissement inscrit au dossier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Laquelle de ces situations fait partie de celles qui aggravent les peines selon l’affichage ?</w:t>
      </w:r>
    </w:p>
    <w:p>
      <w:pPr>
        <w:spacing w:after="120"/>
      </w:pPr>
      <w:r>
        <w:t xml:space="preserve">☐ a) Les faits sont rapportés par un collègue</w:t>
      </w:r>
      <w:r>
        <w:br/>
        <w:t xml:space="preserve"/>
      </w:r>
      <w:r>
        <w:t xml:space="preserve">☐ b) La personne visée travaille à temps partiel</w:t>
      </w:r>
      <w:r>
        <w:br/>
        <w:t xml:space="preserve"/>
      </w:r>
      <w:r>
        <w:t xml:space="preserve">☐ c) L’auteur abuse de l’autorité que lui confèrent ses fonctions</w:t>
      </w:r>
      <w:r>
        <w:br/>
        <w:t xml:space="preserve"/>
      </w:r>
      <w:r>
        <w:t xml:space="preserve">☐ d) Les faits ont lieu pendant une pause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Vous pensez être victime. Quel interlocuteur extérieur à l’entreprise l’affichage donne-t-il avec un numéro de téléphone déjà rempli ?</w:t>
      </w:r>
    </w:p>
    <w:p>
      <w:pPr>
        <w:spacing w:after="120"/>
      </w:pPr>
      <w:r>
        <w:t xml:space="preserve">☐ a) La caisse d’allocations familiales</w:t>
      </w:r>
      <w:r>
        <w:br/>
        <w:t xml:space="preserve"/>
      </w:r>
      <w:r>
        <w:t xml:space="preserve">☐ b) Le centre des impôts</w:t>
      </w:r>
      <w:r>
        <w:br/>
        <w:t xml:space="preserve"/>
      </w:r>
      <w:r>
        <w:t xml:space="preserve">☐ c) Le Défenseur des droits</w:t>
      </w:r>
      <w:r>
        <w:br/>
        <w:t xml:space="preserve"/>
      </w:r>
      <w:r>
        <w:t xml:space="preserve">☐ d) La chambre de commerce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À partir de combien de salariés l’entreprise doit-elle désigner son propre référent harcèlement sexuel et agissements sexistes, d’après l’affichage ? (un nombre en chiffres)</w:t>
      </w:r>
    </w:p>
    <w:p>
      <w:pPr>
        <w:spacing w:after="120"/>
      </w:pPr>
      <w:r>
        <w:t xml:space="preserve">Réponse (un mot) : ………………………………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Pour un manquement de l’employeur à ses obligations, quelle juridiction l’affichage indique-t-il ?</w:t>
      </w:r>
    </w:p>
    <w:p>
      <w:pPr>
        <w:spacing w:after="120"/>
      </w:pPr>
      <w:r>
        <w:t xml:space="preserve">☐ a) La Cour des comptes</w:t>
      </w:r>
      <w:r>
        <w:br/>
        <w:t xml:space="preserve"/>
      </w:r>
      <w:r>
        <w:t xml:space="preserve">☐ b) Le tribunal administratif</w:t>
      </w:r>
      <w:r>
        <w:br/>
        <w:t xml:space="preserve"/>
      </w:r>
      <w:r>
        <w:t xml:space="preserve">☐ c) Le conseil de prud’hommes</w:t>
      </w:r>
      <w:r>
        <w:br/>
        <w:t xml:space="preserve"/>
      </w:r>
      <w:r>
        <w:t xml:space="preserve">☐ d) Le tribunal de commerce</w:t>
      </w:r>
    </w:p>
    <w:p>
      <w:pPr>
        <w:pStyle w:val="Heading2"/>
        <w:spacing w:after="120" w:before="240"/>
      </w:pPr>
      <w:r>
        <w:t xml:space="preserve">D02 Informations principales relatives à la relation de travail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À quoi sert ce document remis au salarié, selon sa première phrase ?</w:t>
      </w:r>
    </w:p>
    <w:p>
      <w:pPr>
        <w:spacing w:after="120"/>
      </w:pPr>
      <w:r>
        <w:t xml:space="preserve">☐ a) À remplacer son contrat de travail</w:t>
      </w:r>
      <w:r>
        <w:br/>
        <w:t xml:space="preserve"/>
      </w:r>
      <w:r>
        <w:t xml:space="preserve">☐ b) À l’informer des règles et conditions essentielles d’exercice de ses fonctions</w:t>
      </w:r>
      <w:r>
        <w:br/>
        <w:t xml:space="preserve"/>
      </w:r>
      <w:r>
        <w:t xml:space="preserve">☐ c) À présenter les résultats de l’entreprise</w:t>
      </w:r>
      <w:r>
        <w:br/>
        <w:t xml:space="preserve"/>
      </w:r>
      <w:r>
        <w:t xml:space="preserve">☐ d) À recueillir son accord sur le règlement intérieur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Pendant la période d’essai, pour quelle(s) rupture(s) le document prévoit-il un délai de prévenance ?</w:t>
      </w:r>
    </w:p>
    <w:p>
      <w:pPr>
        <w:spacing w:after="120"/>
      </w:pPr>
      <w:r>
        <w:t xml:space="preserve">☐ a) Seulement celle décidée par le salarié</w:t>
      </w:r>
      <w:r>
        <w:br/>
        <w:t xml:space="preserve"/>
      </w:r>
      <w:r>
        <w:t xml:space="preserve">☐ b) Celle décidée par le salarié comme celle décidée par l’employeur</w:t>
      </w:r>
      <w:r>
        <w:br/>
        <w:t xml:space="preserve"/>
      </w:r>
      <w:r>
        <w:t xml:space="preserve">☐ c) Seulement celle décidée par l’employeur</w:t>
      </w:r>
      <w:r>
        <w:br/>
        <w:t xml:space="preserve"/>
      </w:r>
      <w:r>
        <w:t xml:space="preserve">☐ d) Aucune : la période d’essai se rompt sans délai</w:t>
      </w:r>
    </w:p>
    <w:p>
      <w:pPr>
        <w:spacing w:after="120"/>
      </w:pPr>
      <w:r>
        <w:rPr>
          <w:b/>
          <w:bCs/>
        </w:rPr>
        <w:t xml:space="preserve">11.</w:t>
      </w:r>
      <w:r>
        <w:t xml:space="preserve"> Dans la partie « Formation professionnelle », les actions de formation de l’employeur sont présentées comme répondant à quoi de sa part ? (un mot)</w:t>
      </w:r>
    </w:p>
    <w:p>
      <w:pPr>
        <w:spacing w:after="120"/>
      </w:pPr>
      <w:r>
        <w:t xml:space="preserve">Réponse (un mot) : ………………………………</w:t>
      </w:r>
    </w:p>
    <w:p>
      <w:pPr>
        <w:spacing w:after="120"/>
      </w:pPr>
      <w:r>
        <w:rPr>
          <w:b/>
          <w:bCs/>
        </w:rPr>
        <w:t xml:space="preserve">12.</w:t>
      </w:r>
      <w:r>
        <w:t xml:space="preserve"> Un salarié bénéficie du statut protecteur au titre d’un mandat. Que faut-il avant de rompre son contrat, d’après le document ?</w:t>
      </w:r>
    </w:p>
    <w:p>
      <w:pPr>
        <w:spacing w:after="120"/>
      </w:pPr>
      <w:r>
        <w:t xml:space="preserve">☐ a) L’accord écrit de ses collègues</w:t>
      </w:r>
      <w:r>
        <w:br/>
        <w:t xml:space="preserve"/>
      </w:r>
      <w:r>
        <w:t xml:space="preserve">☐ b) Un simple courriel au salarié</w:t>
      </w:r>
      <w:r>
        <w:br/>
        <w:t xml:space="preserve"/>
      </w:r>
      <w:r>
        <w:t xml:space="preserve">☐ c) L’avis du médecin du travail</w:t>
      </w:r>
      <w:r>
        <w:br/>
        <w:t xml:space="preserve"/>
      </w:r>
      <w:r>
        <w:t xml:space="preserve">☐ d) L’autorisation préalable de l’inspecteur du travail</w:t>
      </w:r>
    </w:p>
    <w:p>
      <w:pPr>
        <w:spacing w:after="120"/>
      </w:pPr>
      <w:r>
        <w:rPr>
          <w:b/>
          <w:bCs/>
        </w:rPr>
        <w:t xml:space="preserve">13.</w:t>
      </w:r>
      <w:r>
        <w:t xml:space="preserve"> Lequel de ces documents l’employeur doit-il remettre au salarié à la fin du contrat, d’après le document ?</w:t>
      </w:r>
    </w:p>
    <w:p>
      <w:pPr>
        <w:spacing w:after="120"/>
      </w:pPr>
      <w:r>
        <w:t xml:space="preserve">☐ a) Le compte rendu de l’entretien annuel</w:t>
      </w:r>
      <w:r>
        <w:br/>
        <w:t xml:space="preserve"/>
      </w:r>
      <w:r>
        <w:t xml:space="preserve">☐ b) Le registre unique du personnel</w:t>
      </w:r>
      <w:r>
        <w:br/>
        <w:t xml:space="preserve"/>
      </w:r>
      <w:r>
        <w:t xml:space="preserve">☐ c) Un exemplaire signé du règlement intérieur</w:t>
      </w:r>
      <w:r>
        <w:br/>
        <w:t xml:space="preserve"/>
      </w:r>
      <w:r>
        <w:t xml:space="preserve">☐ d) Le certificat de travail</w:t>
      </w:r>
    </w:p>
    <w:p>
      <w:pPr>
        <w:spacing w:after="120"/>
      </w:pPr>
      <w:r>
        <w:rPr>
          <w:b/>
          <w:bCs/>
        </w:rPr>
        <w:t xml:space="preserve">14.</w:t>
      </w:r>
      <w:r>
        <w:t xml:space="preserve"> De combien de mois le salarié dispose-t-il pour contester devant la juridiction prud’homale la fin de son contrat ? (un mot, en lettres)</w:t>
      </w:r>
    </w:p>
    <w:p>
      <w:pPr>
        <w:spacing w:after="120"/>
      </w:pPr>
      <w:r>
        <w:t xml:space="preserve">Réponse (un mot) : ………………………………</w:t>
      </w:r>
    </w:p>
    <w:p>
      <w:pPr>
        <w:spacing w:after="120"/>
      </w:pPr>
      <w:r>
        <w:rPr>
          <w:b/>
          <w:bCs/>
        </w:rPr>
        <w:t xml:space="preserve">15.</w:t>
      </w:r>
      <w:r>
        <w:t xml:space="preserve"> Dans la partie « Rémunération », comment les éléments qui composent la rémunération doivent-ils figurer ?</w:t>
      </w:r>
    </w:p>
    <w:p>
      <w:pPr>
        <w:spacing w:after="120"/>
      </w:pPr>
      <w:r>
        <w:t xml:space="preserve">☐ a) En un seul montant global</w:t>
      </w:r>
      <w:r>
        <w:br/>
        <w:t xml:space="preserve"/>
      </w:r>
      <w:r>
        <w:t xml:space="preserve">☐ b) Seulement si le salarié le demande</w:t>
      </w:r>
      <w:r>
        <w:br/>
        <w:t xml:space="preserve"/>
      </w:r>
      <w:r>
        <w:t xml:space="preserve">☐ c) Chacun séparément</w:t>
      </w:r>
      <w:r>
        <w:br/>
        <w:t xml:space="preserve"/>
      </w:r>
      <w:r>
        <w:t xml:space="preserve">☐ d) Uniquement en net, après cotisations</w:t>
      </w:r>
    </w:p>
    <w:p>
      <w:pPr>
        <w:spacing w:after="120"/>
      </w:pPr>
      <w:r>
        <w:rPr>
          <w:b/>
          <w:bCs/>
        </w:rPr>
        <w:t xml:space="preserve">16.</w:t>
      </w:r>
      <w:r>
        <w:t xml:space="preserve"> Que vous apprend la partie « Protection sociale » ?</w:t>
      </w:r>
    </w:p>
    <w:p>
      <w:pPr>
        <w:spacing w:after="120"/>
      </w:pPr>
      <w:r>
        <w:t xml:space="preserve">☐ a) Le montant de votre future retraite</w:t>
      </w:r>
      <w:r>
        <w:br/>
        <w:t xml:space="preserve"/>
      </w:r>
      <w:r>
        <w:t xml:space="preserve">☐ b) La liste des jours fériés de l’année</w:t>
      </w:r>
      <w:r>
        <w:br/>
        <w:t xml:space="preserve"/>
      </w:r>
      <w:r>
        <w:t xml:space="preserve">☐ c) Le nom de votre médecin traitant</w:t>
      </w:r>
      <w:r>
        <w:br/>
        <w:t xml:space="preserve"/>
      </w:r>
      <w:r>
        <w:t xml:space="preserve">☐ d) Les régimes obligatoires auxquels vous êtes affilié</w:t>
      </w:r>
    </w:p>
    <w:p>
      <w:pPr>
        <w:spacing w:after="120"/>
      </w:pPr>
      <w:r>
        <w:rPr>
          <w:i/>
          <w:iCs/>
        </w:rPr>
        <w:t xml:space="preserve">Réservé à l’organisme : bonnes réponses </w:t>
      </w:r>
      <w:r>
        <w:rPr>
          <w:i/>
          <w:iCs/>
        </w:rPr>
        <w:t xml:space="preserve">[ ]</w:t>
      </w:r>
      <w:r>
        <w:rPr>
          <w:i/>
          <w:iCs/>
        </w:rPr>
        <w:t xml:space="preserve"> sur 16 · sections revues avec la personne : </w:t>
      </w:r>
      <w:r>
        <w:rPr>
          <w:i/>
          <w:iCs/>
        </w:rPr>
        <w:t xml:space="preserve">[ ]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Lu et Retenu – READ FRANCE SAS – exemple-modeles-officiels —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Questionnaire de lecture – Documents remis à l’embauche (exemple sur deux modèles officiels)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de lecture – Documents remis à l’embauche (exemple sur deux modèles officiels)</dc:title>
  <dc:creator>READ FRANCE SAS</dc:creator>
  <dc:description>Lu et Retenu – READ FRANCE SAS</dc:description>
  <cp:lastModifiedBy>Un-named</cp:lastModifiedBy>
  <cp:revision>1</cp:revision>
  <dcterms:created xsi:type="dcterms:W3CDTF">2026-10-14T10:30:23.344Z</dcterms:created>
  <dcterms:modified xsi:type="dcterms:W3CDTF">2026-10-14T10:30:23.344Z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