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t xml:space="preserve">Corrigé et passages cités : Documents remis à l’embauche (exemple sur deux modèles officiels)</w:t>
      </w:r>
    </w:p>
    <w:p>
      <w:pPr>
        <w:spacing w:after="120"/>
      </w:pPr>
      <w:r>
        <w:rPr>
          <w:b/>
          <w:bCs/>
        </w:rPr>
        <w:t xml:space="preserve">Réservé à la personne qui corrige</w:t>
      </w:r>
      <w:r>
        <w:t xml:space="preserve"> · commande exemple-modeles-officiels, 14/10/2026</w:t>
      </w:r>
    </w:p>
    <w:p>
      <w:pPr>
        <w:pBdr>
          <w:left w:val="single" w:color="1F4E79" w:sz="18" w:space="8"/>
        </w:pBdr>
        <w:shd w:fill="EAF1F8" w:color="auto" w:val="clear"/>
        <w:spacing w:after="120"/>
        <w:ind w:left="200" w:right="200"/>
      </w:pPr>
      <w:r>
        <w:rPr>
          <w:color w:val="1F3A5F"/>
        </w:rPr>
        <w:t xml:space="preserve">Chaque question vient d’un passage de vos documents, cité mot pour mot avec sa page. Contrôles passés par chaque question : passage retrouvé dans le document ; pour les réponses en un mot, mot présent dans le passage et absent de l’énoncé ; une seule bonne option ; pas de doublon. Relisez et validez avant la première utilisation. Ce questionnaire ne vaut pas validation juridique de votre règlement ni de vos documents : nous n’en avons pas contrôlé la légalité.</w:t>
      </w:r>
    </w:p>
    <w:p>
      <w:pPr>
        <w:pStyle w:val="Heading2"/>
        <w:spacing w:after="120" w:before="240"/>
      </w:pPr>
      <w:r>
        <w:t xml:space="preserve">Correction</w:t>
      </w:r>
    </w:p>
    <w:p>
      <w:pPr>
        <w:spacing w:after="120"/>
      </w:pPr>
      <w:r>
        <w:t xml:space="preserve">Un point par bonne réponse, 16 au total. Repère indicatif : 80 % (13 bonnes réponses sur 16). En dessous, ou pour toute question fausse, relisez la section concernée avec la personne et notez-la sur l’attestation. Le résultat ne sert pas à sanctionner et aucune décision n’est prise automatiquement à partir de lui.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8"/>
        <w:gridCol w:w="2646"/>
        <w:gridCol w:w="2842"/>
        <w:gridCol w:w="3332"/>
      </w:tblGrid>
      <w:tr>
        <w:trPr>
          <w:tblHeader/>
        </w:trPr>
        <w:tc>
          <w:tcPr>
            <w:tcW w:type="pct" w:w="55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N°</w:t>
            </w:r>
          </w:p>
        </w:tc>
        <w:tc>
          <w:tcPr>
            <w:tcW w:type="pct" w:w="135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Document, section</w:t>
            </w:r>
          </w:p>
        </w:tc>
        <w:tc>
          <w:tcPr>
            <w:tcW w:type="pct" w:w="145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Réponse attendue</w:t>
            </w:r>
          </w:p>
        </w:tc>
        <w:tc>
          <w:tcPr>
            <w:tcW w:type="pct" w:w="17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</w:tr>
      <w:tr>
        <w:tc>
          <w:tcPr>
            <w:tcW w:type="pct" w:w="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</w:t>
            </w:r>
          </w:p>
        </w:tc>
        <w:tc>
          <w:tcPr>
            <w:tcW w:type="pct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D01 §1 Ce qu’est le harcèlement sexuel (I)</w:t>
            </w:r>
          </w:p>
        </w:tc>
        <w:tc>
          <w:tcPr>
            <w:tcW w:type="pct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d) de façon répétée</w:t>
            </w:r>
          </w:p>
        </w:tc>
        <w:tc>
          <w:tcPr>
            <w:tcW w:type="pct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modele-affichage-harcelement-sexuel.pdf, p. 1</w:t>
            </w:r>
          </w:p>
        </w:tc>
      </w:tr>
      <w:tr>
        <w:tc>
          <w:tcPr>
            <w:tcW w:type="pct" w:w="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</w:t>
            </w:r>
          </w:p>
        </w:tc>
        <w:tc>
          <w:tcPr>
            <w:tcW w:type="pct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D01 §1 Ce qu’est le harcèlement sexuel (I)</w:t>
            </w:r>
          </w:p>
        </w:tc>
        <w:tc>
          <w:tcPr>
            <w:tcW w:type="pct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d) L’infraction peut être constituée, même sans concertation entre eux</w:t>
            </w:r>
          </w:p>
        </w:tc>
        <w:tc>
          <w:tcPr>
            <w:tcW w:type="pct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modele-affichage-harcelement-sexuel.pdf, p. 1</w:t>
            </w:r>
          </w:p>
        </w:tc>
      </w:tr>
      <w:tr>
        <w:tc>
          <w:tcPr>
            <w:tcW w:type="pct" w:w="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</w:t>
            </w:r>
          </w:p>
        </w:tc>
        <w:tc>
          <w:tcPr>
            <w:tcW w:type="pct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D01 §2 Ce qui lui est assimilé (II)</w:t>
            </w:r>
          </w:p>
        </w:tc>
        <w:tc>
          <w:tcPr>
            <w:tcW w:type="pct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grave</w:t>
            </w:r>
          </w:p>
        </w:tc>
        <w:tc>
          <w:tcPr>
            <w:tcW w:type="pct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modele-affichage-harcelement-sexuel.pdf, p. 1</w:t>
            </w:r>
          </w:p>
        </w:tc>
      </w:tr>
      <w:tr>
        <w:tc>
          <w:tcPr>
            <w:tcW w:type="pct" w:w="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</w:t>
            </w:r>
          </w:p>
        </w:tc>
        <w:tc>
          <w:tcPr>
            <w:tcW w:type="pct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D01 §3 Les peines (III)</w:t>
            </w:r>
          </w:p>
        </w:tc>
        <w:tc>
          <w:tcPr>
            <w:tcW w:type="pct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b) Deux ans d’emprisonnement et 30 000 € d’amende</w:t>
            </w:r>
          </w:p>
        </w:tc>
        <w:tc>
          <w:tcPr>
            <w:tcW w:type="pct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modele-affichage-harcelement-sexuel.pdf, p. 1</w:t>
            </w:r>
          </w:p>
        </w:tc>
      </w:tr>
      <w:tr>
        <w:tc>
          <w:tcPr>
            <w:tcW w:type="pct" w:w="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</w:t>
            </w:r>
          </w:p>
        </w:tc>
        <w:tc>
          <w:tcPr>
            <w:tcW w:type="pct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D01 §3 Les peines (III)</w:t>
            </w:r>
          </w:p>
        </w:tc>
        <w:tc>
          <w:tcPr>
            <w:tcW w:type="pct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c) L’auteur abuse de l’autorité que lui confèrent ses fonctions</w:t>
            </w:r>
          </w:p>
        </w:tc>
        <w:tc>
          <w:tcPr>
            <w:tcW w:type="pct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modele-affichage-harcelement-sexuel.pdf, p. 1</w:t>
            </w:r>
          </w:p>
        </w:tc>
      </w:tr>
      <w:tr>
        <w:tc>
          <w:tcPr>
            <w:tcW w:type="pct" w:w="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</w:t>
            </w:r>
          </w:p>
        </w:tc>
        <w:tc>
          <w:tcPr>
            <w:tcW w:type="pct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D01 §4 Qui contacter</w:t>
            </w:r>
          </w:p>
        </w:tc>
        <w:tc>
          <w:tcPr>
            <w:tcW w:type="pct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c) Le Défenseur des droits</w:t>
            </w:r>
          </w:p>
        </w:tc>
        <w:tc>
          <w:tcPr>
            <w:tcW w:type="pct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modele-affichage-harcelement-sexuel.pdf, p. 1</w:t>
            </w:r>
          </w:p>
        </w:tc>
      </w:tr>
      <w:tr>
        <w:tc>
          <w:tcPr>
            <w:tcW w:type="pct" w:w="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</w:t>
            </w:r>
          </w:p>
        </w:tc>
        <w:tc>
          <w:tcPr>
            <w:tcW w:type="pct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D01 §4 Qui contacter</w:t>
            </w:r>
          </w:p>
        </w:tc>
        <w:tc>
          <w:tcPr>
            <w:tcW w:type="pct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250</w:t>
            </w:r>
          </w:p>
        </w:tc>
        <w:tc>
          <w:tcPr>
            <w:tcW w:type="pct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modele-affichage-harcelement-sexuel.pdf, p. 1</w:t>
            </w:r>
          </w:p>
        </w:tc>
      </w:tr>
      <w:tr>
        <w:tc>
          <w:tcPr>
            <w:tcW w:type="pct" w:w="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</w:t>
            </w:r>
          </w:p>
        </w:tc>
        <w:tc>
          <w:tcPr>
            <w:tcW w:type="pct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D01 §5 Agir en justice</w:t>
            </w:r>
          </w:p>
        </w:tc>
        <w:tc>
          <w:tcPr>
            <w:tcW w:type="pct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c) Le conseil de prud’hommes</w:t>
            </w:r>
          </w:p>
        </w:tc>
        <w:tc>
          <w:tcPr>
            <w:tcW w:type="pct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modele-affichage-harcelement-sexuel.pdf, p. 1</w:t>
            </w:r>
          </w:p>
        </w:tc>
      </w:tr>
      <w:tr>
        <w:tc>
          <w:tcPr>
            <w:tcW w:type="pct" w:w="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</w:t>
            </w:r>
          </w:p>
        </w:tc>
        <w:tc>
          <w:tcPr>
            <w:tcW w:type="pct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D02 §1 Objet du document</w:t>
            </w:r>
          </w:p>
        </w:tc>
        <w:tc>
          <w:tcPr>
            <w:tcW w:type="pct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b) À l’informer des règles et conditions essentielles d’exercice de ses fonctions</w:t>
            </w:r>
          </w:p>
        </w:tc>
        <w:tc>
          <w:tcPr>
            <w:tcW w:type="pct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modele-informations-principales-relation-de-travail.pdf, p. 1</w:t>
            </w:r>
          </w:p>
        </w:tc>
      </w:tr>
      <w:tr>
        <w:tc>
          <w:tcPr>
            <w:tcW w:type="pct" w:w="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</w:t>
            </w:r>
          </w:p>
        </w:tc>
        <w:tc>
          <w:tcPr>
            <w:tcW w:type="pct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D02 §2 Période d’essai (VII)</w:t>
            </w:r>
          </w:p>
        </w:tc>
        <w:tc>
          <w:tcPr>
            <w:tcW w:type="pct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b) Celle décidée par le salarié comme celle décidée par l’employeur</w:t>
            </w:r>
          </w:p>
        </w:tc>
        <w:tc>
          <w:tcPr>
            <w:tcW w:type="pct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modele-informations-principales-relation-de-travail.pdf, p. 1</w:t>
            </w:r>
          </w:p>
        </w:tc>
      </w:tr>
      <w:tr>
        <w:tc>
          <w:tcPr>
            <w:tcW w:type="pct" w:w="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</w:t>
            </w:r>
          </w:p>
        </w:tc>
        <w:tc>
          <w:tcPr>
            <w:tcW w:type="pct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D02 §3 Formation professionnelle (VIII)</w:t>
            </w:r>
          </w:p>
        </w:tc>
        <w:tc>
          <w:tcPr>
            <w:tcW w:type="pct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obligation</w:t>
            </w:r>
          </w:p>
        </w:tc>
        <w:tc>
          <w:tcPr>
            <w:tcW w:type="pct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modele-informations-principales-relation-de-travail.pdf, p. 2</w:t>
            </w:r>
          </w:p>
        </w:tc>
      </w:tr>
      <w:tr>
        <w:tc>
          <w:tcPr>
            <w:tcW w:type="pct" w:w="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</w:t>
            </w:r>
          </w:p>
        </w:tc>
        <w:tc>
          <w:tcPr>
            <w:tcW w:type="pct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D02 §4 Rupture du contrat et statut protecteur (X)</w:t>
            </w:r>
          </w:p>
        </w:tc>
        <w:tc>
          <w:tcPr>
            <w:tcW w:type="pct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d) L’autorisation préalable de l’inspecteur du travail</w:t>
            </w:r>
          </w:p>
        </w:tc>
        <w:tc>
          <w:tcPr>
            <w:tcW w:type="pct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modele-informations-principales-relation-de-travail.pdf, p. 3</w:t>
            </w:r>
          </w:p>
        </w:tc>
      </w:tr>
      <w:tr>
        <w:tc>
          <w:tcPr>
            <w:tcW w:type="pct" w:w="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</w:t>
            </w:r>
          </w:p>
        </w:tc>
        <w:tc>
          <w:tcPr>
            <w:tcW w:type="pct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D02 §5 Documents de fin de contrat (X)</w:t>
            </w:r>
          </w:p>
        </w:tc>
        <w:tc>
          <w:tcPr>
            <w:tcW w:type="pct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d) Le certificat de travail</w:t>
            </w:r>
          </w:p>
        </w:tc>
        <w:tc>
          <w:tcPr>
            <w:tcW w:type="pct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modele-informations-principales-relation-de-travail.pdf, p. 3</w:t>
            </w:r>
          </w:p>
        </w:tc>
      </w:tr>
      <w:tr>
        <w:tc>
          <w:tcPr>
            <w:tcW w:type="pct" w:w="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</w:t>
            </w:r>
          </w:p>
        </w:tc>
        <w:tc>
          <w:tcPr>
            <w:tcW w:type="pct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D02 §6 Recours du salarié (X)</w:t>
            </w:r>
          </w:p>
        </w:tc>
        <w:tc>
          <w:tcPr>
            <w:tcW w:type="pct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douze</w:t>
            </w:r>
          </w:p>
        </w:tc>
        <w:tc>
          <w:tcPr>
            <w:tcW w:type="pct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modele-informations-principales-relation-de-travail.pdf, p. 3</w:t>
            </w:r>
          </w:p>
        </w:tc>
      </w:tr>
      <w:tr>
        <w:tc>
          <w:tcPr>
            <w:tcW w:type="pct" w:w="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</w:t>
            </w:r>
          </w:p>
        </w:tc>
        <w:tc>
          <w:tcPr>
            <w:tcW w:type="pct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D02 §7 Rémunération (XI)</w:t>
            </w:r>
          </w:p>
        </w:tc>
        <w:tc>
          <w:tcPr>
            <w:tcW w:type="pct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c) Chacun séparément</w:t>
            </w:r>
          </w:p>
        </w:tc>
        <w:tc>
          <w:tcPr>
            <w:tcW w:type="pct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modele-informations-principales-relation-de-travail.pdf, p. 4</w:t>
            </w:r>
          </w:p>
        </w:tc>
      </w:tr>
      <w:tr>
        <w:tc>
          <w:tcPr>
            <w:tcW w:type="pct" w:w="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</w:t>
            </w:r>
          </w:p>
        </w:tc>
        <w:tc>
          <w:tcPr>
            <w:tcW w:type="pct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D02 §8 Protection sociale (XIV)</w:t>
            </w:r>
          </w:p>
        </w:tc>
        <w:tc>
          <w:tcPr>
            <w:tcW w:type="pct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d) Les régimes obligatoires auxquels vous êtes affilié</w:t>
            </w:r>
          </w:p>
        </w:tc>
        <w:tc>
          <w:tcPr>
            <w:tcW w:type="pct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modele-informations-principales-relation-de-travail.pdf, p. 5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Passages cités et points à revoir</w:t>
      </w:r>
    </w:p>
    <w:p>
      <w:pPr>
        <w:spacing w:after="120"/>
      </w:pPr>
      <w:r>
        <w:rPr>
          <w:b/>
          <w:bCs/>
        </w:rPr>
        <w:t xml:space="preserve">1.</w:t>
      </w:r>
      <w:r>
        <w:t xml:space="preserve"> « Le harcèlement sexuel est le fait d'imposer à une personne, de façon répétée, des propos ou comportements à connotation sexuelle ou sexiste » (modele-affichage-harcelement-sexuel.pdf, p. 1)</w:t>
      </w:r>
    </w:p>
    <w:p>
      <w:pPr>
        <w:spacing w:after="120"/>
      </w:pPr>
      <w:r>
        <w:t xml:space="preserve">Si la réponse est fausse : Relire le I : la répétition, ou l’atteinte à la dignité, ou la situation intimidante, hostile ou offensante.</w:t>
      </w:r>
    </w:p>
    <w:p>
      <w:pPr>
        <w:spacing w:after="120"/>
      </w:pPr>
      <w:r>
        <w:rPr>
          <w:b/>
          <w:bCs/>
        </w:rPr>
        <w:t xml:space="preserve">2.</w:t>
      </w:r>
      <w:r>
        <w:t xml:space="preserve"> « par plusieurs personnes qui, même en l'absence de concertation, savent que ces propos ou comportements caractérisent une répétition » (modele-affichage-harcelement-sexuel.pdf, p. 1)</w:t>
      </w:r>
    </w:p>
    <w:p>
      <w:pPr>
        <w:spacing w:after="120"/>
      </w:pPr>
      <w:r>
        <w:t xml:space="preserve">Si la réponse est fausse : Relire le 2° du I : la répétition peut venir de plusieurs personnes.</w:t>
      </w:r>
    </w:p>
    <w:p>
      <w:pPr>
        <w:spacing w:after="120"/>
      </w:pPr>
      <w:r>
        <w:rPr>
          <w:b/>
          <w:bCs/>
        </w:rPr>
        <w:t xml:space="preserve">3.</w:t>
      </w:r>
      <w:r>
        <w:t xml:space="preserve"> « Est assimilé au harcèlement sexuel le fait, même non répété, d'user de toute forme de pression grave dans le but réel ou apparent d'obtenir un acte de nature sexuelle » (modele-affichage-harcelement-sexuel.pdf, p. 1)</w:t>
      </w:r>
    </w:p>
    <w:p>
      <w:pPr>
        <w:spacing w:after="120"/>
      </w:pPr>
      <w:r>
        <w:t xml:space="preserve">Si la réponse est fausse : Relire le II : un seul acte suffit dans ce cas.</w:t>
      </w:r>
    </w:p>
    <w:p>
      <w:pPr>
        <w:spacing w:after="120"/>
      </w:pPr>
      <w:r>
        <w:rPr>
          <w:b/>
          <w:bCs/>
        </w:rPr>
        <w:t xml:space="preserve">4.</w:t>
      </w:r>
      <w:r>
        <w:t xml:space="preserve"> « Les faits mentionnés aux I et II sont punis de deux ans d'emprisonnement et de 30 000 € d'amende. » (modele-affichage-harcelement-sexuel.pdf, p. 1)</w:t>
      </w:r>
    </w:p>
    <w:p>
      <w:pPr>
        <w:spacing w:after="120"/>
      </w:pPr>
      <w:r>
        <w:t xml:space="preserve">Si la réponse est fausse : Relire le III, premier alinéa.</w:t>
      </w:r>
    </w:p>
    <w:p>
      <w:pPr>
        <w:spacing w:after="120"/>
      </w:pPr>
      <w:r>
        <w:rPr>
          <w:b/>
          <w:bCs/>
        </w:rPr>
        <w:t xml:space="preserve">5.</w:t>
      </w:r>
      <w:r>
        <w:t xml:space="preserve"> « Par une personne qui abuse de l'autorité que lui confèrent ses fonctions » (modele-affichage-harcelement-sexuel.pdf, p. 1)</w:t>
      </w:r>
    </w:p>
    <w:p>
      <w:pPr>
        <w:spacing w:after="120"/>
      </w:pPr>
      <w:r>
        <w:t xml:space="preserve">Si la réponse est fausse : Relire la liste des huit circonstances qui portent la peine à trois ans et 45 000 €.</w:t>
      </w:r>
    </w:p>
    <w:p>
      <w:pPr>
        <w:spacing w:after="120"/>
      </w:pPr>
      <w:r>
        <w:rPr>
          <w:b/>
          <w:bCs/>
        </w:rPr>
        <w:t xml:space="preserve">6.</w:t>
      </w:r>
      <w:r>
        <w:t xml:space="preserve"> « Le Défenseur des droits: 09.69.39.00.00 » (modele-affichage-harcelement-sexuel.pdf, p. 1)</w:t>
      </w:r>
    </w:p>
    <w:p>
      <w:pPr>
        <w:spacing w:after="120"/>
      </w:pPr>
      <w:r>
        <w:t xml:space="preserve">Si la réponse est fausse : Les autres contacts (médecin du travail, inspection du travail, référents) sont à compléter par l’employeur sur l’affiche.</w:t>
      </w:r>
    </w:p>
    <w:p>
      <w:pPr>
        <w:spacing w:after="120"/>
      </w:pPr>
      <w:r>
        <w:rPr>
          <w:b/>
          <w:bCs/>
        </w:rPr>
        <w:t xml:space="preserve">7.</w:t>
      </w:r>
      <w:r>
        <w:t xml:space="preserve"> « Obligation pour les entreprises d’au moins 250 salariés » (modele-affichage-harcelement-sexuel.pdf, p. 1)</w:t>
      </w:r>
    </w:p>
    <w:p>
      <w:pPr>
        <w:spacing w:after="120"/>
      </w:pPr>
      <w:r>
        <w:t xml:space="preserve">Si la réponse est fausse : Le référent du CSE existe, lui, dès que l’entreprise a un CSE.</w:t>
      </w:r>
    </w:p>
    <w:p>
      <w:pPr>
        <w:spacing w:after="120"/>
      </w:pPr>
      <w:r>
        <w:rPr>
          <w:b/>
          <w:bCs/>
        </w:rPr>
        <w:t xml:space="preserve">8.</w:t>
      </w:r>
      <w:r>
        <w:t xml:space="preserve"> « Saisir le Conseil des prud’hommes pour manquement de l’employeur à ses obligations » (modele-affichage-harcelement-sexuel.pdf, p. 1)</w:t>
      </w:r>
    </w:p>
    <w:p>
      <w:pPr>
        <w:spacing w:after="120"/>
      </w:pPr>
      <w:r>
        <w:t xml:space="preserve">Si la réponse est fausse : La plainte contre l’auteur, elle, se dépose au commissariat, à la gendarmerie ou auprès du procureur.</w:t>
      </w:r>
    </w:p>
    <w:p>
      <w:pPr>
        <w:spacing w:after="120"/>
      </w:pPr>
      <w:r>
        <w:rPr>
          <w:b/>
          <w:bCs/>
        </w:rPr>
        <w:t xml:space="preserve">9.</w:t>
      </w:r>
      <w:r>
        <w:t xml:space="preserve"> « Le présent document vous est remis pour vous informer des règles et conditions essentielles d'exercice de vos fonctions » (modele-informations-principales-relation-de-travail.pdf, p. 1)</w:t>
      </w:r>
    </w:p>
    <w:p>
      <w:pPr>
        <w:spacing w:after="120"/>
      </w:pPr>
      <w:r>
        <w:t xml:space="preserve">Si la réponse est fausse : Il informe ; il ne remplace pas le contrat.</w:t>
      </w:r>
    </w:p>
    <w:p>
      <w:pPr>
        <w:spacing w:after="120"/>
      </w:pPr>
      <w:r>
        <w:rPr>
          <w:b/>
          <w:bCs/>
        </w:rPr>
        <w:t xml:space="preserve">10.</w:t>
      </w:r>
      <w:r>
        <w:t xml:space="preserve"> « Délai de prévenance en cas de rupture du contrat à l'initiative du salarié » (modele-informations-principales-relation-de-travail.pdf, p. 1)</w:t>
      </w:r>
    </w:p>
    <w:p>
      <w:pPr>
        <w:spacing w:after="120"/>
      </w:pPr>
      <w:r>
        <w:t xml:space="preserve">Si la réponse est fausse : Relire la fin du VII : deux délais, un par partie (pages 1 et 2).</w:t>
      </w:r>
    </w:p>
    <w:p>
      <w:pPr>
        <w:spacing w:after="120"/>
      </w:pPr>
      <w:r>
        <w:rPr>
          <w:b/>
          <w:bCs/>
        </w:rPr>
        <w:t xml:space="preserve">11.</w:t>
      </w:r>
      <w:r>
        <w:t xml:space="preserve"> « Actions mises en œuvre ou prévues par l'employeur au titre de son obligation en matière de formation » (modele-informations-principales-relation-de-travail.pdf, p. 2)</w:t>
      </w:r>
    </w:p>
    <w:p>
      <w:pPr>
        <w:spacing w:after="120"/>
      </w:pPr>
      <w:r>
        <w:t xml:space="preserve">Si la réponse est fausse : Relire le VIII : l’employeur y liste les actions prévues.</w:t>
      </w:r>
    </w:p>
    <w:p>
      <w:pPr>
        <w:spacing w:after="120"/>
      </w:pPr>
      <w:r>
        <w:rPr>
          <w:b/>
          <w:bCs/>
        </w:rPr>
        <w:t xml:space="preserve">12.</w:t>
      </w:r>
      <w:r>
        <w:t xml:space="preserve"> « est soumise à l’autorisation préalable de l’inspecteur du travail » (modele-informations-principales-relation-de-travail.pdf, p. 3)</w:t>
      </w:r>
    </w:p>
    <w:p>
      <w:pPr>
        <w:spacing w:after="120"/>
      </w:pPr>
      <w:r>
        <w:t xml:space="preserve">Si la réponse est fausse : Relire les paragraphes sur les mandats internes et externes (X).</w:t>
      </w:r>
    </w:p>
    <w:p>
      <w:pPr>
        <w:spacing w:after="120"/>
      </w:pPr>
      <w:r>
        <w:rPr>
          <w:b/>
          <w:bCs/>
        </w:rPr>
        <w:t xml:space="preserve">13.</w:t>
      </w:r>
      <w:r>
        <w:t xml:space="preserve"> « Documents de fin de contrat que doit remettre l'employeur au salarié lors de la rupture du contrat : certificat de travail » (modele-informations-principales-relation-de-travail.pdf, p. 3)</w:t>
      </w:r>
    </w:p>
    <w:p>
      <w:pPr>
        <w:spacing w:after="120"/>
      </w:pPr>
      <w:r>
        <w:t xml:space="preserve">Si la réponse est fausse : Les trois documents : certificat de travail, reçu pour solde de tout compte, attestation d’assurance chômage.</w:t>
      </w:r>
    </w:p>
    <w:p>
      <w:pPr>
        <w:spacing w:after="120"/>
      </w:pPr>
      <w:r>
        <w:rPr>
          <w:b/>
          <w:bCs/>
        </w:rPr>
        <w:t xml:space="preserve">14.</w:t>
      </w:r>
      <w:r>
        <w:t xml:space="preserve"> « dispose d'un délai de douze mois à compter de la notification de la rupture du contrat de travail » (modele-informations-principales-relation-de-travail.pdf, p. 3)</w:t>
      </w:r>
    </w:p>
    <w:p>
      <w:pPr>
        <w:spacing w:after="120"/>
      </w:pPr>
      <w:r>
        <w:t xml:space="preserve">Si la réponse est fausse : Le délai part de la notification de la rupture.</w:t>
      </w:r>
    </w:p>
    <w:p>
      <w:pPr>
        <w:spacing w:after="120"/>
      </w:pPr>
      <w:r>
        <w:rPr>
          <w:b/>
          <w:bCs/>
        </w:rPr>
        <w:t xml:space="preserve">15.</w:t>
      </w:r>
      <w:r>
        <w:t xml:space="preserve"> « Éléments constitutifs de la rémunération à indiquer séparément » (modele-informations-principales-relation-de-travail.pdf, p. 4)</w:t>
      </w:r>
    </w:p>
    <w:p>
      <w:pPr>
        <w:spacing w:after="120"/>
      </w:pPr>
      <w:r>
        <w:t xml:space="preserve">Si la réponse est fausse : Salaire de base, avantages en nature, primes, majorations : chaque élément a sa ligne.</w:t>
      </w:r>
    </w:p>
    <w:p>
      <w:pPr>
        <w:spacing w:after="120"/>
      </w:pPr>
      <w:r>
        <w:rPr>
          <w:b/>
          <w:bCs/>
        </w:rPr>
        <w:t xml:space="preserve">16.</w:t>
      </w:r>
      <w:r>
        <w:t xml:space="preserve"> « Régimes obligatoires auxquels est affilié le salarié » (modele-informations-principales-relation-de-travail.pdf, p. 5)</w:t>
      </w:r>
    </w:p>
    <w:p>
      <w:pPr>
        <w:spacing w:after="120"/>
      </w:pPr>
      <w:r>
        <w:t xml:space="preserve">Si la réponse est fausse : Relire le XIV : régime de base, chômage, retraite complémentaire, protection sociale complémentaire.</w:t>
      </w:r>
    </w:p>
    <w:sectPr>
      <w:headerReference w:type="default" r:id="rId6"/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Lu et Retenu – READ FRANCE SAS – exemple-modeles-officiels — page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6"/>
        <w:szCs w:val="16"/>
      </w:rPr>
      <w:t xml:space="preserve">Corrigé – Documents remis à l’embauche (exemple sur deux modèles officiels)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rPr>
      <w:b/>
      <w:bCs/>
      <w:color w:val="1F4E79"/>
      <w:sz w:val="27"/>
      <w:szCs w:val="27"/>
    </w:rPr>
  </w:style>
  <w:style w:type="paragraph" w:styleId="Heading3">
    <w:name w:val="Heading 3"/>
    <w:basedOn w:val="Normal"/>
    <w:next w:val="Normal"/>
    <w:qFormat/>
    <w:rPr>
      <w:b/>
      <w:bCs/>
      <w:color w:val="2E2E2E"/>
      <w:sz w:val="23"/>
      <w:szCs w:val="23"/>
    </w:rPr>
  </w:style>
  <w:style w:type="paragraph" w:styleId="Heading4">
    <w:name w:val="Heading 4"/>
    <w:basedOn w:val="Normal"/>
    <w:next w:val="Normal"/>
    <w:qFormat/>
    <w:rPr>
      <w:b/>
      <w:bCs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Corrigé – Documents remis à l’embauche (exemple sur deux modèles officiels)</dc:title>
  <dc:creator>READ FRANCE SAS</dc:creator>
  <dc:description>Lu et Retenu – READ FRANCE SAS</dc:description>
  <cp:lastModifiedBy>Un-named</cp:lastModifiedBy>
  <cp:revision>1</cp:revision>
  <dcterms:created xsi:type="dcterms:W3CDTF">2026-10-14T10:30:23.371Z</dcterms:created>
  <dcterms:modified xsi:type="dcterms:W3CDTF">2026-10-14T10:30:23.371Z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