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vls-demo-source-connection-data-overview"/>
      <w:r>
        <w:t xml:space="preserve">VLS Demo — Source Connection &amp; Data Overview</w:t>
      </w:r>
      <w:bookmarkEnd w:id="20"/>
    </w:p>
    <w:p>
      <w:pPr>
        <w:pStyle w:val="FirstParagraph"/>
      </w:pPr>
      <w:r>
        <w:rPr>
          <w:i/>
        </w:rPr>
        <w:t xml:space="preserve">Simulated Source Connector state. The BigQuery connection is faked end-to-end; no live query runs. This document feeds the Source Connector → OAuth → table-selection → Data Catalog screens.</w:t>
      </w:r>
    </w:p>
    <w:p>
      <w:pPr>
        <w:pStyle w:val="Heading2"/>
      </w:pPr>
      <w:bookmarkStart w:id="21" w:name="connection"/>
      <w:r>
        <w:t xml:space="preserve">Connection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Connector:</w:t>
      </w:r>
      <w:r>
        <w:t xml:space="preserve"> </w:t>
      </w:r>
      <w:r>
        <w:t xml:space="preserve">Google BigQuery — VLS EPA Hazwaste (</w:t>
      </w:r>
      <w:r>
        <w:rPr>
          <w:rStyle w:val="VerbatimChar"/>
        </w:rPr>
        <w:t xml:space="preserve">bigquery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connected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Project / dataset (placeholder):</w:t>
      </w:r>
      <w:r>
        <w:t xml:space="preserve"> </w:t>
      </w:r>
      <w:r>
        <w:rPr>
          <w:rStyle w:val="VerbatimChar"/>
        </w:rPr>
        <w:t xml:space="preserve">vrio-contextweave-demo.epa_hazwaste</w:t>
      </w:r>
      <w:r>
        <w:t xml:space="preserve"> </w:t>
      </w:r>
      <w:r>
        <w:t xml:space="preserve">— location US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Semantic layer:</w:t>
      </w:r>
      <w:r>
        <w:t xml:space="preserve"> </w:t>
      </w:r>
      <w:r>
        <w:t xml:space="preserve">Gold (business views)</w:t>
      </w:r>
    </w:p>
    <w:p>
      <w:pPr>
        <w:pStyle w:val="BlockText"/>
      </w:pPr>
      <w:r>
        <w:t xml:space="preserve">Open item: confirm the real BigQuery project/dataset name. Placeholder</w:t>
      </w:r>
      <w:r>
        <w:t xml:space="preserve"> </w:t>
      </w:r>
      <w:r>
        <w:rPr>
          <w:rStyle w:val="VerbatimChar"/>
        </w:rPr>
        <w:t xml:space="preserve">vrio-contextweave-demo.epa_hazwaste</w:t>
      </w:r>
      <w:r>
        <w:t xml:space="preserve"> </w:t>
      </w:r>
      <w:r>
        <w:t xml:space="preserve">is used; swap in one place here and in the profiling workbook.</w:t>
      </w:r>
    </w:p>
    <w:p>
      <w:pPr>
        <w:pStyle w:val="Heading2"/>
      </w:pPr>
      <w:bookmarkStart w:id="22" w:name="simulated-oauth-handshake"/>
      <w:r>
        <w:t xml:space="preserve">Simulated OAuth handshake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p>
            <w:pPr>
              <w:pStyle w:val="Compact"/>
              <w:jc w:val="left"/>
            </w:pPr>
            <w:r>
              <w:t xml:space="preserve">Connect to Google BigQuery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google_consent</w:t>
            </w:r>
          </w:p>
        </w:tc>
        <w:tc>
          <w:p>
            <w:pPr>
              <w:pStyle w:val="Compact"/>
              <w:jc w:val="left"/>
            </w:pPr>
            <w:r>
              <w:t xml:space="preserve">Choose account — nishant.srivastav@vriodigital.com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granting</w:t>
            </w:r>
          </w:p>
        </w:tc>
        <w:tc>
          <w:p>
            <w:pPr>
              <w:pStyle w:val="Compact"/>
              <w:jc w:val="left"/>
            </w:pPr>
            <w:r>
              <w:t xml:space="preserve">Granting read access to vrio-contextweave-demo…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connected</w:t>
            </w:r>
          </w:p>
        </w:tc>
        <w:tc>
          <w:p>
            <w:pPr>
              <w:pStyle w:val="Compact"/>
              <w:jc w:val="left"/>
            </w:pPr>
            <w:r>
              <w:t xml:space="preserve">Connected to vrio-contextweave-demo.epa_hazwaste</w:t>
            </w:r>
          </w:p>
        </w:tc>
      </w:tr>
    </w:tbl>
    <w:p>
      <w:pPr>
        <w:pStyle w:val="BodyText"/>
      </w:pPr>
      <w:r>
        <w:t xml:space="preserve">Scopes granted: https://www.googleapis.com/auth/bigquery.readonly</w:t>
      </w:r>
    </w:p>
    <w:p>
      <w:pPr>
        <w:pStyle w:val="Heading2"/>
      </w:pPr>
      <w:bookmarkStart w:id="23" w:name="Xf74eec05600f5f15695959b2dd779be7b404275"/>
      <w:r>
        <w:t xml:space="preserve">Structured catalog — five Gold views (206 columns)</w:t>
      </w:r>
      <w:bookmarkEnd w:id="23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e_manifest</w:t>
            </w:r>
          </w:p>
        </w:tc>
        <w:tc>
          <w:p>
            <w:pPr>
              <w:pStyle w:val="Compact"/>
              <w:jc w:val="left"/>
            </w:pPr>
            <w:r>
              <w:t xml:space="preserve">e-Manifest (shipments)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1,200</w:t>
            </w:r>
          </w:p>
        </w:tc>
        <w:tc>
          <w:p>
            <w:pPr>
              <w:pStyle w:val="Compact"/>
              <w:jc w:val="left"/>
            </w:pPr>
            <w:r>
              <w:t xml:space="preserve">one hazardous-waste shipment (manifest)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e_manifest_all</w:t>
            </w:r>
          </w:p>
        </w:tc>
        <w:tc>
          <w:p>
            <w:pPr>
              <w:pStyle w:val="Compact"/>
              <w:jc w:val="left"/>
            </w:pPr>
            <w:r>
              <w:t xml:space="preserve">e-Manifest — enriched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p>
            <w:pPr>
              <w:pStyle w:val="Compact"/>
              <w:jc w:val="left"/>
            </w:pPr>
            <w:r>
              <w:t xml:space="preserve">1,200</w:t>
            </w:r>
          </w:p>
        </w:tc>
        <w:tc>
          <w:p>
            <w:pPr>
              <w:pStyle w:val="Compact"/>
              <w:jc w:val="left"/>
            </w:pPr>
            <w:r>
              <w:t xml:space="preserve">one shipment + generator/receiver/transporter profiles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RCRA_compliance</w:t>
            </w:r>
          </w:p>
        </w:tc>
        <w:tc>
          <w:p>
            <w:pPr>
              <w:pStyle w:val="Compact"/>
              <w:jc w:val="left"/>
            </w:pPr>
            <w:r>
              <w:t xml:space="preserve">RCRA Compliance (eval/viol/enf)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364</w:t>
            </w:r>
          </w:p>
        </w:tc>
        <w:tc>
          <w:p>
            <w:pPr>
              <w:pStyle w:val="Compact"/>
              <w:jc w:val="left"/>
            </w:pPr>
            <w:r>
              <w:t xml:space="preserve">one evaluation/violation/enforcement line item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RCRA_Compliance_Summary</w:t>
            </w:r>
          </w:p>
        </w:tc>
        <w:tc>
          <w:p>
            <w:pPr>
              <w:pStyle w:val="Compact"/>
              <w:jc w:val="left"/>
            </w:pPr>
            <w:r>
              <w:t xml:space="preserve">RCRA Compliance — facility summary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one facility (compliance 360)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FRS_Facility_profile</w:t>
            </w:r>
          </w:p>
        </w:tc>
        <w:tc>
          <w:p>
            <w:pPr>
              <w:pStyle w:val="Compact"/>
              <w:jc w:val="left"/>
            </w:pPr>
            <w:r>
              <w:t xml:space="preserve">FRS Facility Profile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one facility (identity + RCRA/FRS attributes)</w:t>
            </w:r>
          </w:p>
        </w:tc>
      </w:tr>
    </w:tbl>
    <w:p>
      <w:pPr>
        <w:pStyle w:val="BodyText"/>
      </w:pPr>
      <w:r>
        <w:t xml:space="preserve">Total columns:</w:t>
      </w:r>
      <w:r>
        <w:t xml:space="preserve"> </w:t>
      </w:r>
      <w:r>
        <w:rPr>
          <w:b/>
        </w:rPr>
        <w:t xml:space="preserve">206</w:t>
      </w:r>
      <w:r>
        <w:t xml:space="preserve">. Column-level profiling (description, semantic class, PII, null %, distinct) is in</w:t>
      </w:r>
      <w:r>
        <w:t xml:space="preserve"> </w:t>
      </w:r>
      <w:r>
        <w:rPr>
          <w:rStyle w:val="VerbatimChar"/>
        </w:rPr>
        <w:t xml:space="preserve">02_profiling/Metadata_Profiling.xlsx</w:t>
      </w:r>
      <w:r>
        <w:t xml:space="preserve">.</w:t>
      </w:r>
    </w:p>
    <w:p>
      <w:pPr>
        <w:pStyle w:val="Heading2"/>
      </w:pPr>
      <w:bookmarkStart w:id="24" w:name="unstructured-catalog-uploaded-documents"/>
      <w:r>
        <w:t xml:space="preserve">Unstructured catalog — uploaded documents</w:t>
      </w:r>
      <w:bookmarkEnd w:id="24"/>
    </w:p>
    <w:p>
      <w:pPr>
        <w:pStyle w:val="FirstParagraph"/>
      </w:pPr>
      <w:r>
        <w:rPr>
          <w:i/>
        </w:rPr>
        <w:t xml:space="preserve">Source: Google Drive — VLS Compliance Docs. Files live in</w:t>
      </w:r>
      <w:r>
        <w:rPr>
          <w:i/>
        </w:rPr>
        <w:t xml:space="preserve"> </w:t>
      </w:r>
      <w:r>
        <w:rPr>
          <w:rStyle w:val="VerbatimChar"/>
          <w:i/>
        </w:rPr>
        <w:t xml:space="preserve">08_unstructured/</w:t>
      </w:r>
      <w:r>
        <w:rPr>
          <w:i/>
        </w:rPr>
        <w:t xml:space="preserve">; entity extraction maps them into the graph (see</w:t>
      </w:r>
      <w:r>
        <w:rPr>
          <w:i/>
        </w:rPr>
        <w:t xml:space="preserve"> </w:t>
      </w:r>
      <w:r>
        <w:rPr>
          <w:rStyle w:val="VerbatimChar"/>
          <w:i/>
        </w:rPr>
        <w:t xml:space="preserve">Entity_Extraction_Map.xlsx</w:t>
      </w:r>
      <w:r>
        <w:rPr>
          <w:i/>
        </w:rPr>
        <w:t xml:space="preserve">).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Linked entity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rcra-06-2025-0910-denka-performance-elastomer-llc-cafo.pdf</w:t>
            </w:r>
          </w:p>
        </w:tc>
        <w:tc>
          <w:p>
            <w:pPr>
              <w:pStyle w:val="Compact"/>
              <w:jc w:val="left"/>
            </w:pPr>
            <w:r>
              <w:t xml:space="preserve">Consent Agreement/Final Order</w:t>
            </w:r>
          </w:p>
        </w:tc>
        <w:tc>
          <w:p>
            <w:pPr>
              <w:pStyle w:val="Compact"/>
              <w:jc w:val="left"/>
            </w:pPr>
            <w:r>
              <w:t xml:space="preserve">Denka Performance Elastomer LLC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chemours-cd.pdf</w:t>
            </w:r>
          </w:p>
        </w:tc>
        <w:tc>
          <w:p>
            <w:pPr>
              <w:pStyle w:val="Compact"/>
              <w:jc w:val="left"/>
            </w:pPr>
            <w:r>
              <w:t xml:space="preserve">Consent Decree</w:t>
            </w:r>
          </w:p>
        </w:tc>
        <w:tc>
          <w:p>
            <w:pPr>
              <w:pStyle w:val="Compact"/>
              <w:jc w:val="left"/>
            </w:pPr>
            <w:r>
              <w:t xml:space="preserve">The Chemours Company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chemours-cp.pdf</w:t>
            </w:r>
          </w:p>
        </w:tc>
        <w:tc>
          <w:p>
            <w:pPr>
              <w:pStyle w:val="Compact"/>
              <w:jc w:val="left"/>
            </w:pPr>
            <w:r>
              <w:t xml:space="preserve">Complaint</w:t>
            </w:r>
          </w:p>
        </w:tc>
        <w:tc>
          <w:p>
            <w:pPr>
              <w:pStyle w:val="Compact"/>
              <w:jc w:val="left"/>
            </w:pPr>
            <w:r>
              <w:t xml:space="preserve">The Chemours Company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pcsnitrogenfertilizerlp-cd.pdf</w:t>
            </w:r>
          </w:p>
        </w:tc>
        <w:tc>
          <w:p>
            <w:pPr>
              <w:pStyle w:val="Compact"/>
              <w:jc w:val="left"/>
            </w:pPr>
            <w:r>
              <w:t xml:space="preserve">Consent Decree</w:t>
            </w:r>
          </w:p>
        </w:tc>
        <w:tc>
          <w:p>
            <w:pPr>
              <w:pStyle w:val="Compact"/>
              <w:jc w:val="left"/>
            </w:pPr>
            <w:r>
              <w:t xml:space="preserve">PCS Nitrogen Fertilizer LP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simplot-don-cd-app9-modification-june-2025-cbi-redacted.pdf</w:t>
            </w:r>
          </w:p>
        </w:tc>
        <w:tc>
          <w:p>
            <w:pPr>
              <w:pStyle w:val="Compact"/>
              <w:jc w:val="left"/>
            </w:pPr>
            <w:r>
              <w:t xml:space="preserve">Consent Decree (modification)</w:t>
            </w:r>
          </w:p>
        </w:tc>
        <w:tc>
          <w:p>
            <w:pPr>
              <w:pStyle w:val="Compact"/>
              <w:jc w:val="left"/>
            </w:pPr>
            <w:r>
              <w:t xml:space="preserve">J.R. Simplot Company Don Plant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u.s._v._stericycle_complaint.pdf</w:t>
            </w:r>
          </w:p>
        </w:tc>
        <w:tc>
          <w:p>
            <w:pPr>
              <w:pStyle w:val="Compact"/>
              <w:jc w:val="left"/>
            </w:pPr>
            <w:r>
              <w:t xml:space="preserve">Complaint</w:t>
            </w:r>
          </w:p>
        </w:tc>
        <w:tc>
          <w:p>
            <w:pPr>
              <w:pStyle w:val="Compact"/>
              <w:jc w:val="left"/>
            </w:pPr>
            <w:r>
              <w:t xml:space="preserve">Stericycle Environmental Solutions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united-states-v-stericycle-stipulation-and-order-of-settlement-jan-17-2025.pdf</w:t>
            </w:r>
          </w:p>
        </w:tc>
        <w:tc>
          <w:p>
            <w:pPr>
              <w:pStyle w:val="Compact"/>
              <w:jc w:val="left"/>
            </w:pPr>
            <w:r>
              <w:t xml:space="preserve">Settlement</w:t>
            </w:r>
          </w:p>
        </w:tc>
        <w:tc>
          <w:p>
            <w:pPr>
              <w:pStyle w:val="Compact"/>
              <w:jc w:val="left"/>
            </w:pPr>
            <w:r>
              <w:t xml:space="preserve">Stericycle Environmental Solutions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2026-08-10T20:11:23Z</dcterms:created>
  <dcterms:modified xsi:type="dcterms:W3CDTF">2026-08-10T20:11:23Z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