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c7cab4ab1657d8d34e6136d149289b25fe6342"/>
      <w:r>
        <w:t xml:space="preserve">Use Case Wizard — VLS Texas Molecular (Deer Park)</w:t>
      </w:r>
      <w:bookmarkEnd w:id="20"/>
    </w:p>
    <w:p>
      <w:pPr>
        <w:pStyle w:val="FirstParagraph"/>
      </w:pPr>
      <w:r>
        <w:rPr>
          <w:i/>
        </w:rPr>
        <w:t xml:space="preserve">Drives the Use Case Wizard flow: business domain → use case → hero questions → KPIs → personas. Figures are canned for the demo and cite</w:t>
      </w:r>
      <w:r>
        <w:rPr>
          <w:i/>
        </w:rPr>
        <w:t xml:space="preserve"> </w:t>
      </w:r>
      <w:r>
        <w:rPr>
          <w:rStyle w:val="VerbatimChar"/>
          <w:i/>
        </w:rPr>
        <w:t xml:space="preserve">04_structured_data</w:t>
      </w:r>
      <w:r>
        <w:rPr>
          <w:i/>
        </w:rPr>
        <w:t xml:space="preserve"> </w:t>
      </w:r>
      <w:r>
        <w:rPr>
          <w:i/>
        </w:rPr>
        <w:t xml:space="preserve">/ the entity roster.</w:t>
      </w:r>
    </w:p>
    <w:p>
      <w:pPr>
        <w:pStyle w:val="Heading2"/>
      </w:pPr>
      <w:bookmarkStart w:id="21" w:name="client"/>
      <w:r>
        <w:t xml:space="preserve">Client</w:t>
      </w:r>
      <w:bookmarkEnd w:id="21"/>
    </w:p>
    <w:p>
      <w:pPr>
        <w:numPr>
          <w:ilvl w:val="0"/>
          <w:numId w:val="1001"/>
        </w:numPr>
        <w:pStyle w:val="Compact"/>
      </w:pPr>
      <w:r>
        <w:rPr>
          <w:b/>
        </w:rPr>
        <w:t xml:space="preserve">Organization:</w:t>
      </w:r>
      <w:r>
        <w:t xml:space="preserve"> </w:t>
      </w:r>
      <w:r>
        <w:t xml:space="preserve">VLS Environmental Solutions</w:t>
      </w:r>
    </w:p>
    <w:p>
      <w:pPr>
        <w:numPr>
          <w:ilvl w:val="0"/>
          <w:numId w:val="1001"/>
        </w:numPr>
        <w:pStyle w:val="Compact"/>
      </w:pPr>
      <w:r>
        <w:rPr>
          <w:b/>
        </w:rPr>
        <w:t xml:space="preserve">Facility:</w:t>
      </w:r>
      <w:r>
        <w:t xml:space="preserve"> </w:t>
      </w:r>
      <w:r>
        <w:t xml:space="preserve">VLS Texas Molecular (Deer Park) (EPA ID</w:t>
      </w:r>
      <w:r>
        <w:t xml:space="preserve"> </w:t>
      </w:r>
      <w:r>
        <w:rPr>
          <w:rStyle w:val="VerbatimChar"/>
        </w:rPr>
        <w:t xml:space="preserve">TXD000719518</w:t>
      </w:r>
      <w:r>
        <w:t xml:space="preserve">)</w:t>
      </w:r>
    </w:p>
    <w:p>
      <w:pPr>
        <w:numPr>
          <w:ilvl w:val="0"/>
          <w:numId w:val="1001"/>
        </w:numPr>
        <w:pStyle w:val="Compact"/>
      </w:pPr>
      <w:r>
        <w:rPr>
          <w:b/>
        </w:rPr>
        <w:t xml:space="preserve">Contacts:</w:t>
      </w:r>
      <w:r>
        <w:t xml:space="preserve"> </w:t>
      </w:r>
      <w:r>
        <w:t xml:space="preserve">Robert Whitley — Chief Sustainability Officer; (TBD) — Chief Information Officer</w:t>
      </w:r>
    </w:p>
    <w:p>
      <w:pPr>
        <w:pStyle w:val="Heading2"/>
      </w:pPr>
      <w:bookmarkStart w:id="22" w:name="business-domain"/>
      <w:r>
        <w:t xml:space="preserve">Business domain</w:t>
      </w:r>
      <w:bookmarkEnd w:id="22"/>
    </w:p>
    <w:p>
      <w:pPr>
        <w:pStyle w:val="FirstParagraph"/>
      </w:pPr>
      <w:r>
        <w:rPr>
          <w:b/>
        </w:rPr>
        <w:t xml:space="preserve">Environmental Compliance &amp; Hazardous Waste Operations</w:t>
      </w:r>
    </w:p>
    <w:p>
      <w:pPr>
        <w:pStyle w:val="BodyText"/>
      </w:pPr>
      <w:r>
        <w:t xml:space="preserve">Cradle-to-grave tracking of hazardous waste and the RCRA compliance and liability posture of the facilities in the chain — generators, transporters, and the receiving TSDF.</w:t>
      </w:r>
    </w:p>
    <w:p>
      <w:pPr>
        <w:pStyle w:val="BodyText"/>
      </w:pPr>
      <w:r>
        <w:t xml:space="preserve">Regulatory frameworks: RCRA Subtitle C, e-Manifest (Hazardous Waste Electronic Manifest), Land Disposal Restrictions (LDR), UIC Class I (deep-well injection), TCEQ authorized state program</w:t>
      </w:r>
    </w:p>
    <w:p>
      <w:pPr>
        <w:pStyle w:val="Heading2"/>
      </w:pPr>
      <w:bookmarkStart w:id="23" w:name="use-case"/>
      <w:r>
        <w:t xml:space="preserve">Use case</w:t>
      </w:r>
      <w:bookmarkEnd w:id="23"/>
    </w:p>
    <w:p>
      <w:pPr>
        <w:pStyle w:val="FirstParagraph"/>
      </w:pPr>
      <w:r>
        <w:rPr>
          <w:b/>
        </w:rPr>
        <w:t xml:space="preserve">Cradle-to-Grave Compliance &amp; Liability Intelligence — VLS Texas Molecular (Deer Park)</w:t>
      </w:r>
    </w:p>
    <w:p>
      <w:pPr>
        <w:pStyle w:val="BodyText"/>
      </w:pPr>
      <w:r>
        <w:rPr>
          <w:i/>
        </w:rPr>
        <w:t xml:space="preserve">Framing.</w:t>
      </w:r>
      <w:r>
        <w:t xml:space="preserve"> </w:t>
      </w:r>
      <w:r>
        <w:t xml:space="preserve">VLS-as-operator. VLS runs a RCRA-permitted Class I injection TSDF in Deer Park. Every load it accepts carries the generator’s liability with it. This use case unifies the inbound manifest stream, each generator’s and transporter’s federal compliance record, and public enforcement documents into one queryable model so VLS can see the risk it is taking on — before it accepts the next load.</w:t>
      </w:r>
    </w:p>
    <w:p>
      <w:pPr>
        <w:pStyle w:val="BodyText"/>
      </w:pPr>
      <w:r>
        <w:rPr>
          <w:i/>
        </w:rPr>
        <w:t xml:space="preserve">Scope.</w:t>
      </w:r>
      <w:r>
        <w:t xml:space="preserve"> </w:t>
      </w:r>
      <w:r>
        <w:t xml:space="preserve">Deer Park facility only. VLS Texas Molecular is always the receiving facility.</w:t>
      </w:r>
    </w:p>
    <w:p>
      <w:pPr>
        <w:pStyle w:val="BodyText"/>
      </w:pPr>
      <w:r>
        <w:rPr>
          <w:i/>
        </w:rPr>
        <w:t xml:space="preserve">Problem.</w:t>
      </w:r>
      <w:r>
        <w:t xml:space="preserve"> </w:t>
      </w:r>
      <w:r>
        <w:t xml:space="preserve">Manifest data, generator compliance history, and enforcement documents live in three disconnected places (BigQuery e-Manifest views, RCRAInfo, and PDF consent decrees). No one can answer</w:t>
      </w:r>
      <w:r>
        <w:t xml:space="preserve"> </w:t>
      </w:r>
      <w:r>
        <w:t xml:space="preserve">‘</w:t>
      </w:r>
      <w:r>
        <w:t xml:space="preserve">which of the generators shipping to us is under active enforcement, and how much waste did we take from them last quarter?</w:t>
      </w:r>
      <w:r>
        <w:t xml:space="preserve">’</w:t>
      </w:r>
      <w:r>
        <w:t xml:space="preserve"> </w:t>
      </w:r>
      <w:r>
        <w:t xml:space="preserve">without a manual, multi-day cross-reference.</w:t>
      </w:r>
    </w:p>
    <w:p>
      <w:pPr>
        <w:pStyle w:val="BodyText"/>
      </w:pPr>
      <w:r>
        <w:rPr>
          <w:i/>
        </w:rPr>
        <w:t xml:space="preserve">Not building.</w:t>
      </w:r>
      <w:r>
        <w:t xml:space="preserve"> </w:t>
      </w:r>
      <w:r>
        <w:t xml:space="preserve">This demo does not unify VLS’s internal EAM, LIMS, or ERP systems — that is the narrated roadmap, shown as greyed future connectors, never faked.</w:t>
      </w:r>
    </w:p>
    <w:p>
      <w:pPr>
        <w:pStyle w:val="Heading2"/>
      </w:pPr>
      <w:bookmarkStart w:id="24" w:name="hero-questions"/>
      <w:r>
        <w:t xml:space="preserve">Hero questions</w:t>
      </w:r>
      <w:bookmarkEnd w:id="24"/>
    </w:p>
    <w:p>
      <w:pPr>
        <w:numPr>
          <w:ilvl w:val="0"/>
          <w:numId w:val="1002"/>
        </w:numPr>
        <w:pStyle w:val="Compact"/>
      </w:pPr>
      <w:r>
        <w:rPr>
          <w:b/>
        </w:rPr>
        <w:t xml:space="preserve">HQ1.</w:t>
      </w:r>
      <w:r>
        <w:t xml:space="preserve"> </w:t>
      </w:r>
      <w:r>
        <w:t xml:space="preserve">Which generators shipping to Deer Park are under active RCRA enforcement, and how much waste did we accept from them?</w:t>
      </w:r>
      <w:r>
        <w:br/>
      </w:r>
      <w:r>
        <w:rPr>
          <w:i/>
        </w:rPr>
        <w:t xml:space="preserve">Why:</w:t>
      </w:r>
      <w:r>
        <w:t xml:space="preserve"> </w:t>
      </w:r>
      <w:r>
        <w:t xml:space="preserve">The core liability question — connects inbound manifests to generator compliance records.</w:t>
      </w:r>
    </w:p>
    <w:p>
      <w:pPr>
        <w:numPr>
          <w:ilvl w:val="0"/>
          <w:numId w:val="1002"/>
        </w:numPr>
        <w:pStyle w:val="Compact"/>
      </w:pPr>
      <w:r>
        <w:rPr>
          <w:b/>
        </w:rPr>
        <w:t xml:space="preserve">HQ2.</w:t>
      </w:r>
      <w:r>
        <w:t xml:space="preserve"> </w:t>
      </w:r>
      <w:r>
        <w:t xml:space="preserve">Trace manifest [MTN] cradle-to-grave: who generated it, who hauled it, when did we receive it, and how long was it in transit?</w:t>
      </w:r>
      <w:r>
        <w:br/>
      </w:r>
      <w:r>
        <w:rPr>
          <w:i/>
        </w:rPr>
        <w:t xml:space="preserve">Why:</w:t>
      </w:r>
      <w:r>
        <w:t xml:space="preserve"> </w:t>
      </w:r>
      <w:r>
        <w:t xml:space="preserve">The e-Manifest chain-of-custody question.</w:t>
      </w:r>
    </w:p>
    <w:p>
      <w:pPr>
        <w:numPr>
          <w:ilvl w:val="0"/>
          <w:numId w:val="1002"/>
        </w:numPr>
        <w:pStyle w:val="Compact"/>
      </w:pPr>
      <w:r>
        <w:rPr>
          <w:b/>
        </w:rPr>
        <w:t xml:space="preserve">HQ3.</w:t>
      </w:r>
      <w:r>
        <w:t xml:space="preserve"> </w:t>
      </w:r>
      <w:r>
        <w:t xml:space="preserve">Show every generator with an open (unreturned-to-compliance) RCRA violation that shipped to us in the last 12 months.</w:t>
      </w:r>
      <w:r>
        <w:br/>
      </w:r>
      <w:r>
        <w:rPr>
          <w:i/>
        </w:rPr>
        <w:t xml:space="preserve">Why:</w:t>
      </w:r>
      <w:r>
        <w:t xml:space="preserve"> </w:t>
      </w:r>
      <w:r>
        <w:t xml:space="preserve">Surfaces active regulatory exposure in the inbound stream.</w:t>
      </w:r>
    </w:p>
    <w:p>
      <w:pPr>
        <w:numPr>
          <w:ilvl w:val="0"/>
          <w:numId w:val="1002"/>
        </w:numPr>
        <w:pStyle w:val="Compact"/>
      </w:pPr>
      <w:r>
        <w:rPr>
          <w:b/>
        </w:rPr>
        <w:t xml:space="preserve">HQ4.</w:t>
      </w:r>
      <w:r>
        <w:t xml:space="preserve"> </w:t>
      </w:r>
      <w:r>
        <w:t xml:space="preserve">What does the Chemours consent decree say, and are we accepting waste from that facility?</w:t>
      </w:r>
      <w:r>
        <w:br/>
      </w:r>
      <w:r>
        <w:rPr>
          <w:i/>
        </w:rPr>
        <w:t xml:space="preserve">Why:</w:t>
      </w:r>
      <w:r>
        <w:t xml:space="preserve"> </w:t>
      </w:r>
      <w:r>
        <w:t xml:space="preserve">Bridges unstructured enforcement documents to the live manifest stream — the graph payoff.</w:t>
      </w:r>
    </w:p>
    <w:p>
      <w:pPr>
        <w:numPr>
          <w:ilvl w:val="0"/>
          <w:numId w:val="1002"/>
        </w:numPr>
        <w:pStyle w:val="Compact"/>
      </w:pPr>
      <w:r>
        <w:rPr>
          <w:b/>
        </w:rPr>
        <w:t xml:space="preserve">HQ5.</w:t>
      </w:r>
      <w:r>
        <w:t xml:space="preserve"> </w:t>
      </w:r>
      <w:r>
        <w:t xml:space="preserve">Summarize our own facility’s compliance standing: evaluations, violations, penalties.</w:t>
      </w:r>
      <w:r>
        <w:br/>
      </w:r>
      <w:r>
        <w:rPr>
          <w:i/>
        </w:rPr>
        <w:t xml:space="preserve">Why:</w:t>
      </w:r>
      <w:r>
        <w:t xml:space="preserve"> </w:t>
      </w:r>
      <w:r>
        <w:t xml:space="preserve">VLS-as-operator self-view; the clean-record anchor.</w:t>
      </w:r>
    </w:p>
    <w:p>
      <w:pPr>
        <w:numPr>
          <w:ilvl w:val="0"/>
          <w:numId w:val="1002"/>
        </w:numPr>
        <w:pStyle w:val="Compact"/>
      </w:pPr>
      <w:r>
        <w:rPr>
          <w:b/>
        </w:rPr>
        <w:t xml:space="preserve">HQ6.</w:t>
      </w:r>
      <w:r>
        <w:t xml:space="preserve"> </w:t>
      </w:r>
      <w:r>
        <w:t xml:space="preserve">Which of our inbound generators are named in a federal consent decree or CAFO, and what is our tonnage exposure to them?</w:t>
      </w:r>
      <w:r>
        <w:br/>
      </w:r>
      <w:r>
        <w:rPr>
          <w:i/>
        </w:rPr>
        <w:t xml:space="preserve">Why:</w:t>
      </w:r>
      <w:r>
        <w:t xml:space="preserve"> </w:t>
      </w:r>
      <w:r>
        <w:t xml:space="preserve">Extends the graph payoff across the whole document set, not just Chemours.</w:t>
      </w:r>
    </w:p>
    <w:p>
      <w:pPr>
        <w:numPr>
          <w:ilvl w:val="0"/>
          <w:numId w:val="1002"/>
        </w:numPr>
        <w:pStyle w:val="Compact"/>
      </w:pPr>
      <w:r>
        <w:rPr>
          <w:b/>
        </w:rPr>
        <w:t xml:space="preserve">HQ7.</w:t>
      </w:r>
      <w:r>
        <w:t xml:space="preserve"> </w:t>
      </w:r>
      <w:r>
        <w:t xml:space="preserve">Rank every generator shipping to Deer Park by total RCRA penalty exposure.</w:t>
      </w:r>
      <w:r>
        <w:br/>
      </w:r>
      <w:r>
        <w:rPr>
          <w:i/>
        </w:rPr>
        <w:t xml:space="preserve">Why:</w:t>
      </w:r>
      <w:r>
        <w:t xml:space="preserve"> </w:t>
      </w:r>
      <w:r>
        <w:t xml:space="preserve">The prioritized liability leaderboard a compliance manager screens against.</w:t>
      </w:r>
    </w:p>
    <w:p>
      <w:pPr>
        <w:numPr>
          <w:ilvl w:val="0"/>
          <w:numId w:val="1002"/>
        </w:numPr>
        <w:pStyle w:val="Compact"/>
      </w:pPr>
      <w:r>
        <w:rPr>
          <w:b/>
        </w:rPr>
        <w:t xml:space="preserve">HQ8.</w:t>
      </w:r>
      <w:r>
        <w:t xml:space="preserve"> </w:t>
      </w:r>
      <w:r>
        <w:t xml:space="preserve">How has our inbound hazardous-waste volume trended by quarter, and is any generator ramping up shipments to us?</w:t>
      </w:r>
      <w:r>
        <w:br/>
      </w:r>
      <w:r>
        <w:rPr>
          <w:i/>
        </w:rPr>
        <w:t xml:space="preserve">Why:</w:t>
      </w:r>
      <w:r>
        <w:t xml:space="preserve"> </w:t>
      </w:r>
      <w:r>
        <w:t xml:space="preserve">Operations trend view; ties volume to specific generators over time.</w:t>
      </w:r>
    </w:p>
    <w:p>
      <w:pPr>
        <w:numPr>
          <w:ilvl w:val="0"/>
          <w:numId w:val="1002"/>
        </w:numPr>
        <w:pStyle w:val="Compact"/>
      </w:pPr>
      <w:r>
        <w:rPr>
          <w:b/>
        </w:rPr>
        <w:t xml:space="preserve">HQ9.</w:t>
      </w:r>
      <w:r>
        <w:t xml:space="preserve"> </w:t>
      </w:r>
      <w:r>
        <w:t xml:space="preserve">Which transporters carry the most loads into Deer Park, and does any hauler in our custody chain have its own enforcement history?</w:t>
      </w:r>
      <w:r>
        <w:br/>
      </w:r>
      <w:r>
        <w:rPr>
          <w:i/>
        </w:rPr>
        <w:t xml:space="preserve">Why:</w:t>
      </w:r>
      <w:r>
        <w:t xml:space="preserve"> </w:t>
      </w:r>
      <w:r>
        <w:t xml:space="preserve">Custody-chain risk — surfaces the Stericycle document link on the transporter side.</w:t>
      </w:r>
    </w:p>
    <w:p>
      <w:pPr>
        <w:numPr>
          <w:ilvl w:val="0"/>
          <w:numId w:val="1002"/>
        </w:numPr>
        <w:pStyle w:val="Compact"/>
      </w:pPr>
      <w:r>
        <w:rPr>
          <w:b/>
        </w:rPr>
        <w:t xml:space="preserve">HQ10.</w:t>
      </w:r>
      <w:r>
        <w:t xml:space="preserve"> </w:t>
      </w:r>
      <w:r>
        <w:t xml:space="preserve">What waste codes dominate our inbound stream, and which generators send the most Land-Disposal-Restricted (LDR) waste?</w:t>
      </w:r>
      <w:r>
        <w:br/>
      </w:r>
      <w:r>
        <w:rPr>
          <w:i/>
        </w:rPr>
        <w:t xml:space="preserve">Why:</w:t>
      </w:r>
      <w:r>
        <w:t xml:space="preserve"> </w:t>
      </w:r>
      <w:r>
        <w:t xml:space="preserve">Waste-profile view; connects waste codes to generators and LDR compliance.</w:t>
      </w:r>
    </w:p>
    <w:p>
      <w:pPr>
        <w:numPr>
          <w:ilvl w:val="0"/>
          <w:numId w:val="1002"/>
        </w:numPr>
        <w:pStyle w:val="Compact"/>
      </w:pPr>
      <w:r>
        <w:rPr>
          <w:b/>
        </w:rPr>
        <w:t xml:space="preserve">HQ11.</w:t>
      </w:r>
      <w:r>
        <w:t xml:space="preserve"> </w:t>
      </w:r>
      <w:r>
        <w:t xml:space="preserve">What share of our inbound tonnage in the last 12 months came from generators carrying an open violation?</w:t>
      </w:r>
      <w:r>
        <w:br/>
      </w:r>
      <w:r>
        <w:rPr>
          <w:i/>
        </w:rPr>
        <w:t xml:space="preserve">Why:</w:t>
      </w:r>
      <w:r>
        <w:t xml:space="preserve"> </w:t>
      </w:r>
      <w:r>
        <w:t xml:space="preserve">Single-number exposure headline for the boardroom.</w:t>
      </w:r>
    </w:p>
    <w:p>
      <w:pPr>
        <w:numPr>
          <w:ilvl w:val="0"/>
          <w:numId w:val="1002"/>
        </w:numPr>
        <w:pStyle w:val="Compact"/>
      </w:pPr>
      <w:r>
        <w:rPr>
          <w:b/>
        </w:rPr>
        <w:t xml:space="preserve">HQ12.</w:t>
      </w:r>
      <w:r>
        <w:t xml:space="preserve"> </w:t>
      </w:r>
      <w:r>
        <w:t xml:space="preserve">Show me every rejected load and residue manifest, and which generators they came from.</w:t>
      </w:r>
      <w:r>
        <w:br/>
      </w:r>
      <w:r>
        <w:rPr>
          <w:i/>
        </w:rPr>
        <w:t xml:space="preserve">Why:</w:t>
      </w:r>
      <w:r>
        <w:t xml:space="preserve"> </w:t>
      </w:r>
      <w:r>
        <w:t xml:space="preserve">Inbound data-quality and acceptance-control view.</w:t>
      </w:r>
    </w:p>
    <w:p>
      <w:pPr>
        <w:numPr>
          <w:ilvl w:val="0"/>
          <w:numId w:val="1002"/>
        </w:numPr>
        <w:pStyle w:val="Compact"/>
      </w:pPr>
      <w:r>
        <w:rPr>
          <w:b/>
        </w:rPr>
        <w:t xml:space="preserve">HQ13.</w:t>
      </w:r>
      <w:r>
        <w:t xml:space="preserve"> </w:t>
      </w:r>
      <w:r>
        <w:t xml:space="preserve">Is</w:t>
      </w:r>
      <w:r>
        <w:t xml:space="preserve"> </w:t>
      </w:r>
      <w:r>
        <w:t xml:space="preserve">‘</w:t>
      </w:r>
      <w:r>
        <w:t xml:space="preserve">Texas Molecular</w:t>
      </w:r>
      <w:r>
        <w:t xml:space="preserve">’</w:t>
      </w:r>
      <w:r>
        <w:t xml:space="preserve"> </w:t>
      </w:r>
      <w:r>
        <w:t xml:space="preserve">the same facility as</w:t>
      </w:r>
      <w:r>
        <w:t xml:space="preserve"> </w:t>
      </w:r>
      <w:r>
        <w:t xml:space="preserve">‘</w:t>
      </w:r>
      <w:r>
        <w:t xml:space="preserve">VLS Texas Molecular</w:t>
      </w:r>
      <w:r>
        <w:t xml:space="preserve">’</w:t>
      </w:r>
      <w:r>
        <w:t xml:space="preserve"> </w:t>
      </w:r>
      <w:r>
        <w:t xml:space="preserve">— how does the system know?</w:t>
      </w:r>
      <w:r>
        <w:br/>
      </w:r>
      <w:r>
        <w:rPr>
          <w:i/>
        </w:rPr>
        <w:t xml:space="preserve">Why:</w:t>
      </w:r>
      <w:r>
        <w:t xml:space="preserve"> </w:t>
      </w:r>
      <w:r>
        <w:t xml:space="preserve">Entity-resolution proof; the trust moment for the CIO.</w:t>
      </w:r>
    </w:p>
    <w:p>
      <w:pPr>
        <w:pStyle w:val="Heading2"/>
      </w:pPr>
      <w:bookmarkStart w:id="25" w:name="kpis"/>
      <w:r>
        <w:t xml:space="preserve">KPIs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Source</w:t>
            </w:r>
          </w:p>
        </w:tc>
      </w:tr>
      <w:tr>
        <w:tc>
          <w:p>
            <w:pPr>
              <w:pStyle w:val="Compact"/>
              <w:jc w:val="left"/>
            </w:pPr>
            <w:r>
              <w:t xml:space="preserve">Inbound hazardous waste accepted</w:t>
            </w:r>
          </w:p>
        </w:tc>
        <w:tc>
          <w:p>
            <w:pPr>
              <w:pStyle w:val="Compact"/>
              <w:jc w:val="left"/>
            </w:pPr>
            <w:r>
              <w:t xml:space="preserve">27,310.8</w:t>
            </w:r>
          </w:p>
        </w:tc>
        <w:tc>
          <w:p>
            <w:pPr>
              <w:pStyle w:val="Compact"/>
              <w:jc w:val="left"/>
            </w:pPr>
            <w:r>
              <w:t xml:space="preserve">tons</w:t>
            </w:r>
          </w:p>
        </w:tc>
        <w:tc>
          <w:p>
            <w:pPr>
              <w:pStyle w:val="Compact"/>
              <w:jc w:val="left"/>
            </w:pPr>
            <w:r>
              <w:t xml:space="preserve">e_manifest rollup</w:t>
            </w:r>
          </w:p>
        </w:tc>
      </w:tr>
      <w:tr>
        <w:tc>
          <w:p>
            <w:pPr>
              <w:pStyle w:val="Compact"/>
              <w:jc w:val="left"/>
            </w:pPr>
            <w:r>
              <w:t xml:space="preserve">Inbound manifests processed</w:t>
            </w:r>
          </w:p>
        </w:tc>
        <w:tc>
          <w:p>
            <w:pPr>
              <w:pStyle w:val="Compact"/>
              <w:jc w:val="left"/>
            </w:pPr>
            <w:r>
              <w:t xml:space="preserve">1,200</w:t>
            </w:r>
          </w:p>
        </w:tc>
        <w:tc>
          <w:p>
            <w:pPr>
              <w:pStyle w:val="Compact"/>
              <w:jc w:val="left"/>
            </w:pPr>
            <w:r>
              <w:t xml:space="preserve">manifests</w:t>
            </w:r>
          </w:p>
        </w:tc>
        <w:tc>
          <w:p>
            <w:pPr>
              <w:pStyle w:val="Compact"/>
              <w:jc w:val="left"/>
            </w:pPr>
            <w:r>
              <w:t xml:space="preserve">e_manifest row count</w:t>
            </w:r>
          </w:p>
        </w:tc>
      </w:tr>
      <w:tr>
        <w:tc>
          <w:p>
            <w:pPr>
              <w:pStyle w:val="Compact"/>
              <w:jc w:val="left"/>
            </w:pPr>
            <w:r>
              <w:t xml:space="preserve">Distinct generators shipping to Deer Park</w:t>
            </w:r>
          </w:p>
        </w:tc>
        <w:tc>
          <w:p>
            <w:pPr>
              <w:pStyle w:val="Compact"/>
              <w:jc w:val="left"/>
            </w:pPr>
            <w:r>
              <w:t xml:space="preserve">36</w:t>
            </w:r>
          </w:p>
        </w:tc>
        <w:tc>
          <w:p>
            <w:pPr>
              <w:pStyle w:val="Compact"/>
              <w:jc w:val="left"/>
            </w:pPr>
            <w:r>
              <w:t xml:space="preserve">generators</w:t>
            </w:r>
          </w:p>
        </w:tc>
        <w:tc>
          <w:p>
            <w:pPr>
              <w:pStyle w:val="Compact"/>
              <w:jc w:val="left"/>
            </w:pPr>
            <w:r>
              <w:t xml:space="preserve">entity_roster</w:t>
            </w:r>
          </w:p>
        </w:tc>
      </w:tr>
      <w:tr>
        <w:tc>
          <w:p>
            <w:pPr>
              <w:pStyle w:val="Compact"/>
              <w:jc w:val="left"/>
            </w:pPr>
            <w:r>
              <w:t xml:space="preserve">Generators with RCRA enforcement history ⚠</w:t>
            </w:r>
          </w:p>
        </w:tc>
        <w:tc>
          <w:p>
            <w:pPr>
              <w:pStyle w:val="Compact"/>
              <w:jc w:val="left"/>
            </w:pPr>
            <w:r>
              <w:t xml:space="preserve">15</w:t>
            </w:r>
          </w:p>
        </w:tc>
        <w:tc>
          <w:p>
            <w:pPr>
              <w:pStyle w:val="Compact"/>
              <w:jc w:val="left"/>
            </w:pPr>
            <w:r>
              <w:t xml:space="preserve">generators</w:t>
            </w:r>
          </w:p>
        </w:tc>
        <w:tc>
          <w:p>
            <w:pPr>
              <w:pStyle w:val="Compact"/>
              <w:jc w:val="left"/>
            </w:pPr>
            <w:r>
              <w:t xml:space="preserve">RCRA_Compliance_Summary</w:t>
            </w:r>
          </w:p>
        </w:tc>
      </w:tr>
      <w:tr>
        <w:tc>
          <w:p>
            <w:pPr>
              <w:pStyle w:val="Compact"/>
              <w:jc w:val="left"/>
            </w:pPr>
            <w:r>
              <w:t xml:space="preserve">Rejected inbound loads</w:t>
            </w:r>
          </w:p>
        </w:tc>
        <w:tc>
          <w:p>
            <w:pPr>
              <w:pStyle w:val="Compact"/>
              <w:jc w:val="left"/>
            </w:pPr>
            <w:r>
              <w:t xml:space="preserve">26</w:t>
            </w:r>
          </w:p>
        </w:tc>
        <w:tc>
          <w:p>
            <w:pPr>
              <w:pStyle w:val="Compact"/>
              <w:jc w:val="left"/>
            </w:pPr>
            <w:r>
              <w:t xml:space="preserve">manifests</w:t>
            </w:r>
          </w:p>
        </w:tc>
        <w:tc>
          <w:p>
            <w:pPr>
              <w:pStyle w:val="Compact"/>
              <w:jc w:val="left"/>
            </w:pPr>
            <w:r>
              <w:t xml:space="preserve">e_manifest REJECTION=Y</w:t>
            </w:r>
          </w:p>
        </w:tc>
      </w:tr>
      <w:tr>
        <w:tc>
          <w:p>
            <w:pPr>
              <w:pStyle w:val="Compact"/>
              <w:jc w:val="left"/>
            </w:pPr>
            <w:r>
              <w:t xml:space="preserve">Residue manifests</w:t>
            </w:r>
          </w:p>
        </w:tc>
        <w:tc>
          <w:p>
            <w:pPr>
              <w:pStyle w:val="Compact"/>
              <w:jc w:val="left"/>
            </w:pPr>
            <w:r>
              <w:t xml:space="preserve">46</w:t>
            </w:r>
          </w:p>
        </w:tc>
        <w:tc>
          <w:p>
            <w:pPr>
              <w:pStyle w:val="Compact"/>
              <w:jc w:val="left"/>
            </w:pPr>
            <w:r>
              <w:t xml:space="preserve">manifests</w:t>
            </w:r>
          </w:p>
        </w:tc>
        <w:tc>
          <w:p>
            <w:pPr>
              <w:pStyle w:val="Compact"/>
              <w:jc w:val="left"/>
            </w:pPr>
            <w:r>
              <w:t xml:space="preserve">e_manifest MANIFEST RESIDUE=Y</w:t>
            </w:r>
          </w:p>
        </w:tc>
      </w:tr>
      <w:tr>
        <w:tc>
          <w:p>
            <w:pPr>
              <w:pStyle w:val="Compact"/>
              <w:jc w:val="left"/>
            </w:pPr>
            <w:r>
              <w:t xml:space="preserve">VLS Texas Molecular own penalties ✓</w:t>
            </w:r>
          </w:p>
        </w:tc>
        <w:tc>
          <w:p>
            <w:pPr>
              <w:pStyle w:val="Compact"/>
              <w:jc w:val="left"/>
            </w:pPr>
            <w:r>
              <w:t xml:space="preserve">0</w:t>
            </w:r>
          </w:p>
        </w:tc>
        <w:tc>
          <w:p>
            <w:pPr>
              <w:pStyle w:val="Compact"/>
              <w:jc w:val="left"/>
            </w:pPr>
            <w:r>
              <w:t xml:space="preserve">USD</w:t>
            </w:r>
          </w:p>
        </w:tc>
        <w:tc>
          <w:p>
            <w:pPr>
              <w:pStyle w:val="Compact"/>
              <w:jc w:val="left"/>
            </w:pPr>
            <w:r>
              <w:t xml:space="preserve">RCRA_Compliance_Summary (VLS)</w:t>
            </w:r>
          </w:p>
        </w:tc>
      </w:tr>
    </w:tbl>
    <w:p>
      <w:pPr>
        <w:pStyle w:val="Heading2"/>
      </w:pPr>
      <w:bookmarkStart w:id="26" w:name="personas"/>
      <w:r>
        <w:t xml:space="preserve">Personas</w:t>
      </w:r>
      <w:bookmarkEnd w:id="26"/>
    </w:p>
    <w:p>
      <w:pPr>
        <w:numPr>
          <w:ilvl w:val="0"/>
          <w:numId w:val="1003"/>
        </w:numPr>
        <w:pStyle w:val="Compact"/>
      </w:pPr>
      <w:r>
        <w:rPr>
          <w:b/>
        </w:rPr>
        <w:t xml:space="preserve">Robert Whitley — Chief Sustainability Officer.</w:t>
      </w:r>
      <w:r>
        <w:t xml:space="preserve"> </w:t>
      </w:r>
      <w:r>
        <w:t xml:space="preserve">Prove the facility’s compliance posture to regulators and customers; quantify liability carried in from generators.</w:t>
      </w:r>
      <w:r>
        <w:br/>
      </w:r>
      <w:r>
        <w:rPr>
          <w:i/>
        </w:rPr>
        <w:t xml:space="preserve">Top questions:</w:t>
      </w:r>
      <w:r>
        <w:t xml:space="preserve"> </w:t>
      </w:r>
      <w:r>
        <w:t xml:space="preserve">HQ5, HQ6, HQ11</w:t>
      </w:r>
    </w:p>
    <w:p>
      <w:pPr>
        <w:numPr>
          <w:ilvl w:val="0"/>
          <w:numId w:val="1003"/>
        </w:numPr>
        <w:pStyle w:val="Compact"/>
      </w:pPr>
      <w:r>
        <w:rPr>
          <w:b/>
        </w:rPr>
        <w:t xml:space="preserve">CIO — Chief Information Officer.</w:t>
      </w:r>
      <w:r>
        <w:t xml:space="preserve"> </w:t>
      </w:r>
      <w:r>
        <w:t xml:space="preserve">Unify fragmented compliance data without ripping out existing systems; trust the answers (evidence + confidence).</w:t>
      </w:r>
      <w:r>
        <w:br/>
      </w:r>
      <w:r>
        <w:rPr>
          <w:i/>
        </w:rPr>
        <w:t xml:space="preserve">Top questions:</w:t>
      </w:r>
      <w:r>
        <w:t xml:space="preserve"> </w:t>
      </w:r>
      <w:r>
        <w:t xml:space="preserve">HQ4, HQ13, HQ2</w:t>
      </w:r>
    </w:p>
    <w:p>
      <w:pPr>
        <w:numPr>
          <w:ilvl w:val="0"/>
          <w:numId w:val="1003"/>
        </w:numPr>
        <w:pStyle w:val="Compact"/>
      </w:pPr>
      <w:r>
        <w:rPr>
          <w:b/>
        </w:rPr>
        <w:t xml:space="preserve">Compliance Manager — Environmental Compliance Manager.</w:t>
      </w:r>
      <w:r>
        <w:t xml:space="preserve"> </w:t>
      </w:r>
      <w:r>
        <w:t xml:space="preserve">Screen inbound generators before accepting loads; track open violations and return-to-compliance dates.</w:t>
      </w:r>
      <w:r>
        <w:br/>
      </w:r>
      <w:r>
        <w:rPr>
          <w:i/>
        </w:rPr>
        <w:t xml:space="preserve">Top questions:</w:t>
      </w:r>
      <w:r>
        <w:t xml:space="preserve"> </w:t>
      </w:r>
      <w:r>
        <w:t xml:space="preserve">HQ1, HQ3, HQ7, HQ10</w:t>
      </w:r>
    </w:p>
    <w:p>
      <w:pPr>
        <w:numPr>
          <w:ilvl w:val="0"/>
          <w:numId w:val="1003"/>
        </w:numPr>
        <w:pStyle w:val="Compact"/>
      </w:pPr>
      <w:r>
        <w:rPr>
          <w:b/>
        </w:rPr>
        <w:t xml:space="preserve">Operations Director — Operations Director, Deer Park.</w:t>
      </w:r>
      <w:r>
        <w:t xml:space="preserve"> </w:t>
      </w:r>
      <w:r>
        <w:t xml:space="preserve">Understand inbound volume, rejections, and transporter performance (days in possession).</w:t>
      </w:r>
      <w:r>
        <w:br/>
      </w:r>
      <w:r>
        <w:rPr>
          <w:i/>
        </w:rPr>
        <w:t xml:space="preserve">Top questions:</w:t>
      </w:r>
      <w:r>
        <w:t xml:space="preserve"> </w:t>
      </w:r>
      <w:r>
        <w:t xml:space="preserve">HQ2, HQ8, HQ9, HQ12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2026-08-10T20:43:31Z</dcterms:created>
  <dcterms:modified xsi:type="dcterms:W3CDTF">2026-08-10T20:43:31Z</dcterms:modified>
</cp:coreProperties>
</file>

<file path=docProps/custom.xml><?xml version="1.0" encoding="utf-8"?>
<Properties xmlns="http://schemas.openxmlformats.org/officeDocument/2006/custom-properties" xmlns:vt="http://schemas.openxmlformats.org/officeDocument/2006/docPropsVTypes"/>
</file>