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knowledge-graph-vls-demo-overview"/>
      <w:r>
        <w:t xml:space="preserve">Knowledge Graph — VLS Demo Overview</w:t>
      </w:r>
      <w:bookmarkEnd w:id="20"/>
    </w:p>
    <w:p>
      <w:pPr>
        <w:pStyle w:val="FirstParagraph"/>
      </w:pPr>
      <w:r>
        <w:rPr>
          <w:i/>
        </w:rPr>
        <w:t xml:space="preserve">Companion narrative to</w:t>
      </w:r>
      <w:r>
        <w:rPr>
          <w:i/>
        </w:rPr>
        <w:t xml:space="preserve"> </w:t>
      </w:r>
      <w:r>
        <w:rPr>
          <w:rStyle w:val="VerbatimChar"/>
          <w:i/>
        </w:rPr>
        <w:t xml:space="preserve">Knowledge_Graph_Model.xlsx</w:t>
      </w:r>
      <w:r>
        <w:rPr>
          <w:i/>
        </w:rPr>
        <w:t xml:space="preserve"> </w:t>
      </w:r>
      <w:r>
        <w:rPr>
          <w:i/>
        </w:rPr>
        <w:t xml:space="preserve">(Node Types, Edge Types, Nodes, Edges, Entity Resolution sheets). Explains how the graph is built from columns, rows, and extracted document entities.</w:t>
      </w:r>
    </w:p>
    <w:p>
      <w:pPr>
        <w:pStyle w:val="Heading2"/>
      </w:pPr>
      <w:bookmarkStart w:id="21" w:name="how-the-graph-is-built"/>
      <w:r>
        <w:t xml:space="preserve">How the graph is built</w:t>
      </w:r>
      <w:bookmarkEnd w:id="21"/>
    </w:p>
    <w:p>
      <w:pPr>
        <w:pStyle w:val="FirstParagraph"/>
      </w:pPr>
      <w:r>
        <w:t xml:space="preserve">The graph is assembled from three sources, not one: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Rows become nodes.</w:t>
      </w:r>
      <w:r>
        <w:t xml:space="preserve"> </w:t>
      </w:r>
      <w:r>
        <w:t xml:space="preserve">Each facility row (FRS / RCRA summary) becomes a</w:t>
      </w:r>
      <w:r>
        <w:t xml:space="preserve"> </w:t>
      </w:r>
      <w:r>
        <w:rPr>
          <w:b/>
        </w:rPr>
        <w:t xml:space="preserve">Facility</w:t>
      </w:r>
      <w:r>
        <w:t xml:space="preserve"> </w:t>
      </w:r>
      <w:r>
        <w:t xml:space="preserve">node; each shipment row becomes a</w:t>
      </w:r>
      <w:r>
        <w:t xml:space="preserve"> </w:t>
      </w:r>
      <w:r>
        <w:rPr>
          <w:b/>
        </w:rPr>
        <w:t xml:space="preserve">Manifest</w:t>
      </w:r>
      <w:r>
        <w:t xml:space="preserve"> </w:t>
      </w:r>
      <w:r>
        <w:t xml:space="preserve">node; VLS Texas Molecular is always the receiving facility.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Column values become dimension nodes.</w:t>
      </w:r>
      <w:r>
        <w:t xml:space="preserve"> </w:t>
      </w:r>
      <w:r>
        <w:t xml:space="preserve">Distinct values in</w:t>
      </w:r>
      <w:r>
        <w:t xml:space="preserve"> </w:t>
      </w:r>
      <w:r>
        <w:rPr>
          <w:rStyle w:val="VerbatimChar"/>
        </w:rPr>
        <w:t xml:space="preserve">WASTE 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ENF_TYPE_DESC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VIOL_TYPE</w:t>
      </w:r>
      <w:r>
        <w:t xml:space="preserve"> </w:t>
      </w:r>
      <w:r>
        <w:t xml:space="preserve">become</w:t>
      </w:r>
      <w:r>
        <w:t xml:space="preserve"> </w:t>
      </w:r>
      <w:r>
        <w:rPr>
          <w:b/>
        </w:rPr>
        <w:t xml:space="preserve">WasteCode</w:t>
      </w:r>
      <w:r>
        <w:t xml:space="preserve">,</w:t>
      </w:r>
      <w:r>
        <w:t xml:space="preserve"> </w:t>
      </w:r>
      <w:r>
        <w:rPr>
          <w:b/>
        </w:rPr>
        <w:t xml:space="preserve">EnforcementType</w:t>
      </w:r>
      <w:r>
        <w:t xml:space="preserve">, and</w:t>
      </w:r>
      <w:r>
        <w:t xml:space="preserve"> </w:t>
      </w:r>
      <w:r>
        <w:rPr>
          <w:b/>
        </w:rPr>
        <w:t xml:space="preserve">ViolationType</w:t>
      </w:r>
      <w:r>
        <w:t xml:space="preserve"> </w:t>
      </w:r>
      <w:r>
        <w:t xml:space="preserve">nodes that many rows point at.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Extracted document entities resolve onto nodes.</w:t>
      </w:r>
      <w:r>
        <w:t xml:space="preserve"> </w:t>
      </w:r>
      <w:r>
        <w:t xml:space="preserve">Named entities pulled from the uploaded consent decrees, CAFOs, complaints, and settlements resolve onto existing</w:t>
      </w:r>
      <w:r>
        <w:t xml:space="preserve"> </w:t>
      </w:r>
      <w:r>
        <w:rPr>
          <w:b/>
        </w:rPr>
        <w:t xml:space="preserve">Facility</w:t>
      </w:r>
      <w:r>
        <w:t xml:space="preserve"> </w:t>
      </w:r>
      <w:r>
        <w:t xml:space="preserve">nodes — the bridge from unstructured documents to the live manifest stream.</w:t>
      </w:r>
    </w:p>
    <w:p>
      <w:pPr>
        <w:pStyle w:val="Heading2"/>
      </w:pPr>
      <w:bookmarkStart w:id="22" w:name="the-bridge-why-the-graph-pays-off"/>
      <w:r>
        <w:t xml:space="preserve">The bridge — why the graph pays off</w:t>
      </w:r>
      <w:bookmarkEnd w:id="22"/>
    </w:p>
    <w:p>
      <w:pPr>
        <w:pStyle w:val="FirstParagraph"/>
      </w:pPr>
      <w:r>
        <w:t xml:space="preserve">The payoff question (</w:t>
      </w:r>
      <w:r>
        <w:t xml:space="preserve">‘</w:t>
      </w:r>
      <w:r>
        <w:t xml:space="preserve">what does the Chemours consent decree say, and are we accepting waste from that facility?</w:t>
      </w:r>
      <w:r>
        <w:t xml:space="preserve">’</w:t>
      </w:r>
      <w:r>
        <w:t xml:space="preserve">) is answerable only because the</w:t>
      </w:r>
      <w:r>
        <w:t xml:space="preserve"> </w:t>
      </w:r>
      <w:r>
        <w:rPr>
          <w:b/>
        </w:rPr>
        <w:t xml:space="preserve">Document</w:t>
      </w:r>
      <w:r>
        <w:t xml:space="preserve"> </w:t>
      </w:r>
      <w:r>
        <w:t xml:space="preserve">node for</w:t>
      </w:r>
      <w:r>
        <w:t xml:space="preserve"> </w:t>
      </w:r>
      <w:r>
        <w:rPr>
          <w:rStyle w:val="VerbatimChar"/>
        </w:rPr>
        <w:t xml:space="preserve">chemours-cd.pdf</w:t>
      </w:r>
      <w:r>
        <w:t xml:space="preserve"> </w:t>
      </w:r>
      <w:r>
        <w:t xml:space="preserve">is linked by</w:t>
      </w:r>
      <w:r>
        <w:t xml:space="preserve"> </w:t>
      </w:r>
      <w:r>
        <w:rPr>
          <w:rStyle w:val="VerbatimChar"/>
        </w:rPr>
        <w:t xml:space="preserve">DESCRIBED_BY</w:t>
      </w:r>
      <w:r>
        <w:t xml:space="preserve"> </w:t>
      </w:r>
      <w:r>
        <w:t xml:space="preserve">to the</w:t>
      </w:r>
      <w:r>
        <w:t xml:space="preserve"> </w:t>
      </w:r>
      <w:r>
        <w:rPr>
          <w:b/>
        </w:rPr>
        <w:t xml:space="preserve">Facility</w:t>
      </w:r>
      <w:r>
        <w:t xml:space="preserve"> </w:t>
      </w:r>
      <w:r>
        <w:t xml:space="preserve">node for The Chemours Company Fayetteville Works, which is in turn linked by</w:t>
      </w:r>
      <w:r>
        <w:t xml:space="preserve"> </w:t>
      </w:r>
      <w:r>
        <w:rPr>
          <w:rStyle w:val="VerbatimChar"/>
        </w:rPr>
        <w:t xml:space="preserve">SHIPS_TO</w:t>
      </w:r>
      <w:r>
        <w:t xml:space="preserve"> </w:t>
      </w:r>
      <w:r>
        <w:t xml:space="preserve">to VLS Texas Molecular with the inbound tonnage and manifest count as edge properties. Structured and unstructured data meet on one node.</w:t>
      </w:r>
    </w:p>
    <w:p>
      <w:pPr>
        <w:pStyle w:val="Heading2"/>
      </w:pPr>
      <w:bookmarkStart w:id="23" w:name="entity-resolution-texas-molecular"/>
      <w:r>
        <w:t xml:space="preserve">Entity resolution — Texas Molecular</w:t>
      </w:r>
      <w:bookmarkEnd w:id="23"/>
    </w:p>
    <w:p>
      <w:pPr>
        <w:pStyle w:val="FirstParagraph"/>
      </w:pPr>
      <w:r>
        <w:rPr>
          <w:rStyle w:val="VerbatimChar"/>
        </w:rPr>
        <w:t xml:space="preserve">Texas Molecular LP</w:t>
      </w:r>
      <w:r>
        <w:t xml:space="preserve"> </w:t>
      </w:r>
      <w:r>
        <w:t xml:space="preserve">(pre-2023) and</w:t>
      </w:r>
      <w:r>
        <w:t xml:space="preserve"> </w:t>
      </w:r>
      <w:r>
        <w:rPr>
          <w:rStyle w:val="VerbatimChar"/>
        </w:rPr>
        <w:t xml:space="preserve">VLS Texas Molecular</w:t>
      </w:r>
      <w:r>
        <w:t xml:space="preserve"> </w:t>
      </w:r>
      <w:r>
        <w:t xml:space="preserve">(post-acquisition, 2023-01-05) are the same site under one EPA ID,</w:t>
      </w:r>
      <w:r>
        <w:t xml:space="preserve"> </w:t>
      </w:r>
      <w:r>
        <w:rPr>
          <w:rStyle w:val="VerbatimChar"/>
        </w:rPr>
        <w:t xml:space="preserve">TXD000719518</w:t>
      </w:r>
      <w:r>
        <w:t xml:space="preserve">. Manifests shipped before the acquisition carry the legacy name in</w:t>
      </w:r>
      <w:r>
        <w:t xml:space="preserve"> </w:t>
      </w:r>
      <w:r>
        <w:rPr>
          <w:rStyle w:val="VerbatimChar"/>
        </w:rPr>
        <w:t xml:space="preserve">DES FACILITY NAME</w:t>
      </w:r>
      <w:r>
        <w:t xml:space="preserve">; the graph resolves both names, plus the alias variants, to a single Facility node via the alias table and EPA-ID match. See the Entity Resolution sheet.</w:t>
      </w:r>
    </w:p>
    <w:p>
      <w:pPr>
        <w:pStyle w:val="Heading2"/>
      </w:pPr>
      <w:bookmarkStart w:id="24" w:name="edge-types-at-a-glance"/>
      <w:r>
        <w:t xml:space="preserve">Edge types at a glance</w:t>
      </w:r>
      <w:bookmarkEnd w:id="24"/>
    </w:p>
    <w:p>
      <w:pPr>
        <w:pStyle w:val="FirstParagraph"/>
      </w:pPr>
      <w:r>
        <w:rPr>
          <w:rStyle w:val="VerbatimChar"/>
        </w:rPr>
        <w:t xml:space="preserve">SHIPS_TO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TRANSPORTS_TO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HAS_VIOLATION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HAS_ENFORCEMENT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. Full definitions, cardinality, and edge properties are in the Edge Types sheet.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2026-08-10T20:11:23Z</dcterms:created>
  <dcterms:modified xsi:type="dcterms:W3CDTF">2026-08-10T20:11:23Z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