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ls-demo-reports-overview"/>
      <w:r>
        <w:t xml:space="preserve">VLS Demo — Reports Overview</w:t>
      </w:r>
      <w:bookmarkEnd w:id="20"/>
    </w:p>
    <w:p>
      <w:pPr>
        <w:pStyle w:val="FirstParagraph"/>
      </w:pPr>
      <w:r>
        <w:rPr>
          <w:i/>
        </w:rPr>
        <w:t xml:space="preserve">Companion narrative to the five report HTML files (</w:t>
      </w:r>
      <w:r>
        <w:rPr>
          <w:rStyle w:val="VerbatimChar"/>
          <w:i/>
        </w:rPr>
        <w:t xml:space="preserve">Report_1..5_*.html</w:t>
      </w:r>
      <w:r>
        <w:rPr>
          <w:i/>
        </w:rPr>
        <w:t xml:space="preserve">) and</w:t>
      </w:r>
      <w:r>
        <w:rPr>
          <w:i/>
        </w:rPr>
        <w:t xml:space="preserve"> </w:t>
      </w:r>
      <w:r>
        <w:rPr>
          <w:rStyle w:val="VerbatimChar"/>
          <w:i/>
        </w:rPr>
        <w:t xml:space="preserve">VLS_Reports.xlsx</w:t>
      </w:r>
      <w:r>
        <w:rPr>
          <w:i/>
        </w:rPr>
        <w:t xml:space="preserve"> </w:t>
      </w:r>
      <w:r>
        <w:rPr>
          <w:i/>
        </w:rPr>
        <w:t xml:space="preserve">(report sheets + a Report Queries sheet). A report in Context Weave is a re-executable question, not a stored table of values; the figures shown are canned demo outputs consistent with the entity roster. The HTML files are styled to match the prototype and carry filters, charts and tables; the workbook carries the same figures for ingestion.</w:t>
      </w:r>
    </w:p>
    <w:p>
      <w:pPr>
        <w:pStyle w:val="Heading2"/>
      </w:pPr>
      <w:bookmarkStart w:id="21" w:name="Xfa1bf3e0e31c527da6b6ae852f6b8ae781460cc"/>
      <w:r>
        <w:t xml:space="preserve">Report 1 — VLS Facility Compliance Scorecard</w:t>
      </w:r>
      <w:bookmarkEnd w:id="21"/>
    </w:p>
    <w:p>
      <w:pPr>
        <w:pStyle w:val="FirstParagraph"/>
      </w:pPr>
      <w:r>
        <w:t xml:space="preserve">VLS-as-operator self-view with comparator TSDFs for context. VLS Texas Molecular carries three evaluations, one historical violation, and</w:t>
      </w:r>
      <w:r>
        <w:t xml:space="preserve"> </w:t>
      </w:r>
      <w:r>
        <w:rPr>
          <w:b/>
        </w:rPr>
        <w:t xml:space="preserve">$0 in penalties</w:t>
      </w:r>
      <w:r>
        <w:t xml:space="preserve"> </w:t>
      </w:r>
      <w:r>
        <w:t xml:space="preserve">— the clean-record anchor the demo opens on. Comparator TSDFs are shown to make the clean record legible against peers.</w:t>
      </w:r>
    </w:p>
    <w:p>
      <w:pPr>
        <w:pStyle w:val="Heading2"/>
      </w:pPr>
      <w:bookmarkStart w:id="22" w:name="report-2-inbound-generator-risk-register"/>
      <w:r>
        <w:t xml:space="preserve">Report 2 — Inbound Generator Risk Register</w:t>
      </w:r>
      <w:bookmarkEnd w:id="22"/>
    </w:p>
    <w:p>
      <w:pPr>
        <w:pStyle w:val="FirstParagraph"/>
      </w:pPr>
      <w:r>
        <w:t xml:space="preserve">Every generator shipping to Deer Park, ranked by RCRA penalty exposure, with evaluations, violations, enforcements, inbound tonnage and manifest count. The risk column is colour-coded; the consent-decree flag bridges four out-of-state generators to the document set. This is the register a compliance manager screens before accepting the next load.</w:t>
      </w:r>
    </w:p>
    <w:p>
      <w:pPr>
        <w:pStyle w:val="Heading2"/>
      </w:pPr>
      <w:bookmarkStart w:id="23" w:name="report-3-cradle-to-grave-manifest-trace"/>
      <w:r>
        <w:t xml:space="preserve">Report 3 — Cradle-to-Grave Manifest Trace</w:t>
      </w:r>
      <w:bookmarkEnd w:id="23"/>
    </w:p>
    <w:p>
      <w:pPr>
        <w:pStyle w:val="FirstParagraph"/>
      </w:pPr>
      <w:r>
        <w:t xml:space="preserve">A sample of fully traced inbound manifests: origin, custody chain (in order), days in possession, tonnage, residue and rejection flags, and receipt at VLS. The sample is chosen to cover a multi-transporter chain, a rejected load, a residue manifest, and an out-of-state shipment.</w:t>
      </w:r>
    </w:p>
    <w:p>
      <w:pPr>
        <w:pStyle w:val="Heading2"/>
      </w:pPr>
      <w:bookmarkStart w:id="24" w:name="report-4-quarterly-inbound-waste-profile"/>
      <w:r>
        <w:t xml:space="preserve">Report 4 — Quarterly Inbound Waste Profile</w:t>
      </w:r>
      <w:bookmarkEnd w:id="24"/>
    </w:p>
    <w:p>
      <w:pPr>
        <w:pStyle w:val="FirstParagraph"/>
      </w:pPr>
      <w:r>
        <w:t xml:space="preserve">Inbound volume by calendar quarter from Jan 2023 to Jun 2026: manifests, tons, rejections, and residue manifests. Volume is broadly steady with a modest Q2 peak each year. The HTML adds a year filter that drives the trend charts and the detail table together.</w:t>
      </w:r>
    </w:p>
    <w:p>
      <w:pPr>
        <w:pStyle w:val="Heading2"/>
      </w:pPr>
      <w:bookmarkStart w:id="25" w:name="X0f1d7221e952b381c7c543c4130f48e6771000e"/>
      <w:r>
        <w:t xml:space="preserve">Report 5 — Consent-Decree &amp; Out-of-State Exposure</w:t>
      </w:r>
      <w:bookmarkEnd w:id="25"/>
    </w:p>
    <w:p>
      <w:pPr>
        <w:pStyle w:val="FirstParagraph"/>
      </w:pPr>
      <w:r>
        <w:t xml:space="preserve">The graph-payoff report. It lists the four inbound generators named in a federal consent decree or CAFO, links each to its enforcement document, and quantifies VLS’s tonnage exposure to them — alongside the share of total inbound tonnage coming from generators with an open violation. It exists only because uploaded enforcement documents resolve onto the same facility nodes as the live manifest stream; structured and unstructured data meet on one node.</w:t>
      </w:r>
    </w:p>
    <w:p>
      <w:pPr>
        <w:pStyle w:val="Heading2"/>
      </w:pPr>
      <w:bookmarkStart w:id="26" w:name="report-level-queries"/>
      <w:r>
        <w:t xml:space="preserve">Report-level queries</w:t>
      </w:r>
      <w:bookmarkEnd w:id="26"/>
    </w:p>
    <w:p>
      <w:pPr>
        <w:pStyle w:val="FirstParagraph"/>
      </w:pPr>
      <w:r>
        <w:t xml:space="preserve">Each report carries its own canned questions with answers and confidence — see the Report Queries sheet in the workbook. These are the questions a user asks</w:t>
      </w:r>
      <w:r>
        <w:t xml:space="preserve"> </w:t>
      </w:r>
      <w:r>
        <w:rPr>
          <w:i/>
        </w:rPr>
        <w:t xml:space="preserve">from inside</w:t>
      </w:r>
      <w:r>
        <w:t xml:space="preserve"> </w:t>
      </w:r>
      <w:r>
        <w:t xml:space="preserve">a report, distinct from the ~40 open-ended queries in</w:t>
      </w:r>
      <w:r>
        <w:t xml:space="preserve"> </w:t>
      </w:r>
      <w:r>
        <w:rPr>
          <w:rStyle w:val="VerbatimChar"/>
        </w:rPr>
        <w:t xml:space="preserve">06_queries/VLS_Query_Set.xlsx</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2026-08-10T20:54:33Z</dcterms:created>
  <dcterms:modified xsi:type="dcterms:W3CDTF">2026-08-10T20:54:33Z</dcterms:modified>
</cp:coreProperties>
</file>

<file path=docProps/custom.xml><?xml version="1.0" encoding="utf-8"?>
<Properties xmlns="http://schemas.openxmlformats.org/officeDocument/2006/custom-properties" xmlns:vt="http://schemas.openxmlformats.org/officeDocument/2006/docPropsVTypes"/>
</file>