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DRAFT — Article 34.4 exposure review, BUS-204</w:t>
      </w:r>
    </w:p>
    <w:p>
      <w:pPr>
        <w:spacing w:after="160"/>
      </w:pPr>
      <w:r>
        <w:t xml:space="preserve">Draft by A. Roussel. Recoverable if the Authority accepts: €28,000 (under cap). Risk: maintenance default argument (OIL-60K overdue). Status: not claimed. This note is a working position, not the commercial team's validated view.</w:t>
      </w:r>
    </w:p>
    <w:p>
      <w:pPr>
        <w:spacing w:after="160"/>
      </w:pPr>
      <w:r>
        <w:t xml:space="preserve">Hypothetical demo document — Keolis Valmont and Valmont Métropole are fictional · ContextWeave demo, 24 Sep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2026-09-25T01:26:29.912Z</dcterms:created>
  <dcterms:modified xsi:type="dcterms:W3CDTF">2026-09-25T01:26:29.912Z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