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 Fleet &amp; Infrastructure Renewal Decisions</w:t>
      </w:r>
    </w:p>
    <w:p>
      <w:pPr>
        <w:spacing w:after="240"/>
      </w:pPr>
      <w:r>
        <w:rPr>
          <w:color w:val="5B6472"/>
        </w:rPr>
        <w:t xml:space="preserve">Keolis Valmont · operating contract DSP-VM-2021 · version 1.0 · 18 September 2026 · owner: Claire Moreau (Directrice générale)</w:t>
      </w:r>
    </w:p>
    <w:p>
      <w:pPr>
        <w:pStyle w:val="Heading1"/>
      </w:pPr>
      <w:r>
        <w:t xml:space="preserve">1. Purpose</w:t>
      </w:r>
    </w:p>
    <w:p>
      <w:pPr>
        <w:spacing w:after="140"/>
      </w:pPr>
      <w:r>
        <w:t xml:space="preserve">Keolis Valmont needs one place to decide which renewal projects need intervention, what their full financial exposure is, and whether approved work is ready to proceed without undermining service. Today those answers take a week of spreadsheet reconciliation across the EAM, the ERP, the project office's register, the contract folder and correspondence.</w:t>
      </w:r>
    </w:p>
    <w:p>
      <w:pPr>
        <w:spacing w:after="140"/>
      </w:pPr>
      <w:r>
        <w:t xml:space="preserve">ContextWeave is the evidence-backed decision-support layer over these systems. The source applications keep control of work orders, ledger entries, contracts and approvals; ContextWeave connects their records, keeps their history, runs governed calculations and shows the evidence.</w:t>
      </w:r>
    </w:p>
    <w:p>
      <w:pPr>
        <w:pStyle w:val="Heading1"/>
      </w:pPr>
      <w:r>
        <w:t xml:space="preserve">2. Decisions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rPr>
          <w:tblHeader/>
        </w:trPr>
        <w:tc>
          <w:tcPr>
            <w:tcW w:type="dxa" w:w="22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Decision</w:t>
            </w:r>
          </w:p>
        </w:tc>
        <w:tc>
          <w:tcPr>
            <w:tcW w:type="dxa" w:w="18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Who decides</w:t>
            </w:r>
          </w:p>
        </w:tc>
        <w:tc>
          <w:tcPr>
            <w:tcW w:type="dxa" w:w="27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Records needed</w:t>
            </w:r>
          </w:p>
        </w:tc>
        <w:tc>
          <w:tcPr>
            <w:tcW w:type="dxa" w:w="266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Evidence needed</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Which projects need intervention this week</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Directrice générale, weekly review</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Schedule baseline vs current, PO promised dates, approvals</w:t>
            </w:r>
          </w:p>
        </w:tc>
        <w:tc>
          <w:tcPr>
            <w:tcW w:type="dxa" w:w="2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Supplier correspondence, drawing revisions, meeting decisions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What the full financial exposure is</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Investment controller</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Budget versions, ledger, accruals, forecasts, claims</w:t>
            </w:r>
          </w:p>
        </w:tc>
        <w:tc>
          <w:tcPr>
            <w:tcW w:type="dxa" w:w="2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Contract clauses on who pays, amendments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Whether approved work can start</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Project manager + service planning</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Access windows, parts, service requirement, availability</w:t>
            </w:r>
          </w:p>
        </w:tc>
        <w:tc>
          <w:tcPr>
            <w:tcW w:type="dxa" w:w="2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Access requests, readiness reviews, method statements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Who pays for a failure after the replacement date</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Commercial &amp; contract manager</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Failure events, replacement dates, maintenance plan</w:t>
            </w:r>
          </w:p>
        </w:tc>
        <w:tc>
          <w:tcPr>
            <w:tcW w:type="dxa" w:w="2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Article 34.4 as amended, notices, authority replies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Whether a campaign is complete</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Maintenance lead</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Installations, acceptance items, releases for duty</w:t>
            </w:r>
          </w:p>
        </w:tc>
        <w:tc>
          <w:tcPr>
            <w:tcW w:type="dxa" w:w="2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Commissioning pack, certificates, warranty terms</w:t>
            </w:r>
          </w:p>
        </w:tc>
      </w:tr>
    </w:tbl>
    <w:p/>
    <w:p>
      <w:pPr>
        <w:pStyle w:val="Heading1"/>
      </w:pPr>
      <w:r>
        <w:t xml:space="preserve">3. Users</w:t>
      </w:r>
    </w:p>
    <w:p>
      <w:pPr>
        <w:pStyle w:val="ListParagraph"/>
        <w:numPr>
          <w:ilvl w:val="0"/>
          <w:numId w:val="2"/>
        </w:numPr>
      </w:pPr>
      <w:r>
        <w:t xml:space="preserve">Operating company executive — portfolio exceptions and exposure.</w:t>
      </w:r>
    </w:p>
    <w:p>
      <w:pPr>
        <w:pStyle w:val="ListParagraph"/>
        <w:numPr>
          <w:ilvl w:val="0"/>
          <w:numId w:val="2"/>
        </w:numPr>
      </w:pPr>
      <w:r>
        <w:t xml:space="preserve">Investment controller — reconciled forecasts, variance and recovery states.</w:t>
      </w:r>
    </w:p>
    <w:p>
      <w:pPr>
        <w:pStyle w:val="ListParagraph"/>
        <w:numPr>
          <w:ilvl w:val="0"/>
          <w:numId w:val="2"/>
        </w:numPr>
      </w:pPr>
      <w:r>
        <w:t xml:space="preserve">Rolling stock maintenance lead — condition, failures, acceptance, backlog.</w:t>
      </w:r>
    </w:p>
    <w:p>
      <w:pPr>
        <w:pStyle w:val="ListParagraph"/>
        <w:numPr>
          <w:ilvl w:val="0"/>
          <w:numId w:val="2"/>
        </w:numPr>
      </w:pPr>
      <w:r>
        <w:t xml:space="preserve">Infrastructure project manager — readiness, access, dependencies, scope changes.</w:t>
      </w:r>
    </w:p>
    <w:p>
      <w:pPr>
        <w:pStyle w:val="ListParagraph"/>
        <w:numPr>
          <w:ilvl w:val="0"/>
          <w:numId w:val="2"/>
        </w:numPr>
      </w:pPr>
      <w:r>
        <w:t xml:space="preserve">Commercial &amp; contract manager — responsibility, amendments, notices, recovery.</w:t>
      </w:r>
    </w:p>
    <w:p>
      <w:pPr>
        <w:pStyle w:val="ListParagraph"/>
        <w:numPr>
          <w:ilvl w:val="0"/>
          <w:numId w:val="2"/>
        </w:numPr>
      </w:pPr>
      <w:r>
        <w:t xml:space="preserve">Service planning lead — peak and reserve while assets are withdrawn.</w:t>
      </w:r>
    </w:p>
    <w:p>
      <w:pPr>
        <w:pStyle w:val="ListParagraph"/>
        <w:numPr>
          <w:ilvl w:val="0"/>
          <w:numId w:val="2"/>
        </w:numPr>
      </w:pPr>
      <w:r>
        <w:t xml:space="preserve">Authority liaison — what the authority sees; claimable versus potential.</w:t>
      </w:r>
    </w:p>
    <w:p>
      <w:pPr>
        <w:pStyle w:val="Heading1"/>
      </w:pPr>
      <w:r>
        <w:t xml:space="preserve">4.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rPr>
          <w:tblHeader/>
        </w:trPr>
        <w:tc>
          <w:tcPr>
            <w:tcW w:type="dxa" w:w="9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ID</w:t>
            </w:r>
          </w:p>
        </w:tc>
        <w:tc>
          <w:tcPr>
            <w:tcW w:type="dxa" w:w="46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Requirement</w:t>
            </w:r>
          </w:p>
        </w:tc>
        <w:tc>
          <w:tcPr>
            <w:tcW w:type="dxa" w:w="386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Failure it prevents</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BR-01</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Rank exceptions by the agreed rules (mandatory date, service consequence, cost growth, funding gap, supplier delay, unresolved approval) and keep each factor visible.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An unexplained score nobody can challenge.</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BR-02</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State the perspective — operator or authority — on every financial answer.</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Presenting authority-funded cost as Keolis exposure, or the reverse.</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BR-03</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Keep potential, submitted, accepted, disputed and paid recovery as five separate states.</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Counting a disputed claim as cash.</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BR-04</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Report installed, accepted and duty-eligible counts separately.</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Reporting a campaign complete before acceptance.</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BR-05</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Treat supplier and authority messages as dated statements until the owning process records them.</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 schedule that silently follows an email.</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BR-06</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Never promote an expectation, a draft or a conditional approval to an unconditional approval.</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Treating 'expected to be funded' as a budget.</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BR-07</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Show the assessed population and what is excluded beside every portfolio figure.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'The portfolio is within budget' while part of it has no forecast.</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BR-08</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Keep effective time and knowledge time apart for contract versions and forecasts.</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Judging a past decision on information that arrived later.</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BR-09</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Keep unallocated spend visible as its own category.</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 portfolio that looks healthier because unallocated lines were dropped.</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BR-10</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Decline questions the data cannot support — prediction, optimisation, legal liability, cross-network benchmarks — and say what can be answered instead.</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Confident answers the data does not justify.</w:t>
            </w:r>
          </w:p>
        </w:tc>
      </w:tr>
    </w:tbl>
    <w:p/>
    <w:p>
      <w:pPr>
        <w:pStyle w:val="Heading1"/>
      </w:pPr>
      <w:r>
        <w:t xml:space="preserve">5. Measures</w:t>
      </w:r>
    </w:p>
    <w:p>
      <w:pPr>
        <w:spacing w:after="140"/>
      </w:pPr>
      <w:r>
        <w:t xml:space="preserve">The governed measures are defined in the metrics definitions document. Three are headline measures for this brief:</w:t>
      </w:r>
    </w:p>
    <w:p>
      <w:pPr>
        <w:spacing w:after="140"/>
      </w:pPr>
      <w:r>
        <w:rPr>
          <w:b/>
          <w:bCs/>
        </w:rPr>
        <w:t xml:space="preserve">Forecast Total Project Cost.</w:t>
      </w:r>
      <w:r>
        <w:t xml:space="preserve"> Posted actuals plus valid uninvoiced accruals plus the forecast cost to complete, per project, EUR HT. Used for the monthly investment review and the quarterly PPI review. Accruals are reversed when the invoice arrives; the cost to complete excludes anything already accrued, so nothing is counted twice.</w:t>
      </w:r>
    </w:p>
    <w:p>
      <w:pPr>
        <w:spacing w:after="140"/>
      </w:pPr>
      <w:r>
        <w:rPr>
          <w:b/>
          <w:bCs/>
        </w:rPr>
        <w:t xml:space="preserve">Operator Exposure.</w:t>
      </w:r>
      <w:r>
        <w:t xml:space="preserve"> Costs borne by Keolis Valmont under validated allocations: GER projects in the contract price plus its share of co-funded projects; unresolved exposure shown as a separate scenario. Used for the Keolis France investment committee. Never equal to project cost: an authority-funded renewal is not operator exposure, and a disputed recovery is not counted as certain.</w:t>
      </w:r>
    </w:p>
    <w:p>
      <w:pPr>
        <w:spacing w:after="140"/>
      </w:pPr>
      <w:r>
        <w:rPr>
          <w:b/>
          <w:bCs/>
        </w:rPr>
        <w:t xml:space="preserve">Service Availability Margin.</w:t>
      </w:r>
      <w:r>
        <w:t xml:space="preserve"> Eligible available vehicles minus the peak requirement minus the agreed reserve, by vehicle class and day type. Used for service planning and the weekly readiness call. Each unavailable vehicle is subtracted once, from its availability interval — an open work order alone does not make a vehicle unavailable.</w:t>
      </w:r>
    </w:p>
    <w:p>
      <w:pPr>
        <w:pStyle w:val="Heading1"/>
      </w:pPr>
      <w:r>
        <w:t xml:space="preserve">6. Out of scope for this release</w:t>
      </w:r>
    </w:p>
    <w:p>
      <w:pPr>
        <w:pStyle w:val="ListParagraph"/>
        <w:numPr>
          <w:ilvl w:val="0"/>
          <w:numId w:val="2"/>
        </w:numPr>
      </w:pPr>
      <w:r>
        <w:t xml:space="preserve">Predictive failure models and remaining-useful-life estimates (needs censored history and out-of-time validation).</w:t>
      </w:r>
    </w:p>
    <w:p>
      <w:pPr>
        <w:pStyle w:val="ListParagraph"/>
        <w:numPr>
          <w:ilvl w:val="0"/>
          <w:numId w:val="2"/>
        </w:numPr>
      </w:pPr>
      <w:r>
        <w:t xml:space="preserve">Portfolio optimisation (needs resource calendars and an agreed objective).</w:t>
      </w:r>
    </w:p>
    <w:p>
      <w:pPr>
        <w:pStyle w:val="ListParagraph"/>
        <w:numPr>
          <w:ilvl w:val="0"/>
          <w:numId w:val="2"/>
        </w:numPr>
      </w:pPr>
      <w:r>
        <w:t xml:space="preserve">Writeback to the EAM, ERP or PPM — any follow-up task is routed through the source workflow.</w:t>
      </w:r>
    </w:p>
    <w:p>
      <w:pPr>
        <w:pStyle w:val="ListParagraph"/>
        <w:numPr>
          <w:ilvl w:val="0"/>
          <w:numId w:val="2"/>
        </w:numPr>
      </w:pPr>
      <w:r>
        <w:t xml:space="preserve">Crew and driver availability (workforce planning is not connected).</w:t>
      </w:r>
    </w:p>
    <w:p>
      <w:pPr>
        <w:pStyle w:val="ListParagraph"/>
        <w:numPr>
          <w:ilvl w:val="0"/>
          <w:numId w:val="2"/>
        </w:numPr>
      </w:pPr>
      <w:r>
        <w:t xml:space="preserve">Cross-network comparison with other Keolis contracts.</w:t>
      </w:r>
    </w:p>
    <w:p>
      <w:pPr>
        <w:pStyle w:val="Heading1"/>
      </w:pPr>
      <w:r>
        <w:t xml:space="preserve">7.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Area</w:t>
            </w:r>
          </w:p>
        </w:tc>
        <w:tc>
          <w:tcPr>
            <w:tcW w:type="dxa" w:w="7160"/>
            <w:tcBorders>
              <w:top w:val="single" w:color="C9CED6" w:sz="4"/>
              <w:left w:val="single" w:color="C9CED6" w:sz="4"/>
              <w:bottom w:val="single" w:color="C9CED6" w:sz="4"/>
              <w:right w:val="single" w:color="C9CED6" w:sz="4"/>
            </w:tcBorders>
            <w:shd w:fill="EEF1F5" w:color="auto" w:val="clear"/>
            <w:tcMar>
              <w:top w:type="dxa" w:w="60"/>
              <w:left w:type="dxa" w:w="100"/>
              <w:bottom w:type="dxa" w:w="60"/>
              <w:right w:type="dxa" w:w="100"/>
            </w:tcMar>
          </w:tcPr>
          <w:p>
            <w:r>
              <w:rPr>
                <w:b/>
                <w:bCs/>
                <w:sz w:val="18"/>
                <w:szCs w:val="18"/>
              </w:rPr>
              <w:t xml:space="preserve">Acceptance test</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Financial accuracy</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Portfolio control totals reconcile to the M08 close; differences are explained and signed off by finance.</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Traceability</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Every material figure in the agreed question set links to the record or document version it came from.</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Authorisation</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No draft, expectation or conditional approval appears as an unconditional approval in the test set.</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Access</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An infrastructure-scoped reader sees none of the fleet projects' rows, figures or citations.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Usefulness</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8"/>
                <w:szCs w:val="18"/>
              </w:rPr>
              <w:t xml:space="preserve">Weekly review preparation time compared with the recorded pre-pilot baseline (2 days).</w:t>
            </w:r>
          </w:p>
        </w:tc>
      </w:tr>
    </w:tbl>
    <w:p/>
    <w:p>
      <w:pPr>
        <w:spacing w:after="140"/>
      </w:pPr>
      <w:r>
        <w:rPr>
          <w:i/>
          <w:iCs/>
          <w:color w:val="5B6472"/>
        </w:rPr>
        <w:t xml:space="preserve">Hypothetical demonstration document. Keolis Valmont, Valmont Métropole, the contract and every figure are fictional.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5"/>
        <w:szCs w:val="15"/>
      </w:rPr>
      <w:t xml:space="preserve">Keolis Valmont — hypothetical demonstration document for ContextWeave · 24 September 2026  ·  page </w:t>
    </w:r>
    <w:r>
      <w:rPr>
        <w:color w:val="8A93A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937"/>
      <w:sz w:val="40"/>
      <w:szCs w:val="40"/>
    </w:rPr>
  </w:style>
  <w:style w:type="paragraph" w:styleId="Heading1">
    <w:name w:val="Heading 1"/>
    <w:basedOn w:val="Normal"/>
    <w:next w:val="Normal"/>
    <w:qFormat/>
    <w:pPr>
      <w:spacing w:after="120" w:before="280"/>
      <w:outlineLvl w:val="0"/>
    </w:pPr>
    <w:rPr>
      <w:b/>
      <w:bCs/>
      <w:color w:val="1F2937"/>
      <w:sz w:val="28"/>
      <w:szCs w:val="28"/>
    </w:rPr>
  </w:style>
  <w:style w:type="paragraph" w:styleId="Heading2">
    <w:name w:val="Heading 2"/>
    <w:basedOn w:val="Normal"/>
    <w:next w:val="Normal"/>
    <w:qFormat/>
    <w:pPr>
      <w:spacing w:after="100" w:before="200"/>
      <w:outlineLvl w:val="1"/>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2026-09-25T01:26:30.449Z</dcterms:created>
  <dcterms:modified xsi:type="dcterms:W3CDTF">2026-09-25T01:26:30.449Z</dcterms:modified>
</cp:coreProperties>
</file>

<file path=docProps/custom.xml><?xml version="1.0" encoding="utf-8"?>
<Properties xmlns="http://schemas.openxmlformats.org/officeDocument/2006/custom-properties" xmlns:vt="http://schemas.openxmlformats.org/officeDocument/2006/docPropsVTypes"/>
</file>