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Metrics Definitions — Renewal Portfolio</w:t>
      </w:r>
    </w:p>
    <w:p>
      <w:pPr>
        <w:spacing w:after="240"/>
      </w:pPr>
      <w:r>
        <w:rPr>
          <w:color w:val="5B6472"/>
        </w:rPr>
        <w:t xml:space="preserve">Keolis Valmont · governed measures v1.0 · 15 September 2026 · owner: Amélie Roussel (investment controller)</w:t>
      </w:r>
    </w:p>
    <w:p>
      <w:pPr>
        <w:spacing w:after="140"/>
      </w:pPr>
      <w:r>
        <w:t xml:space="preserve">Every measure has a named owner, a business definition, a grain, inclusion rules, a date basis, a currency and a version. Money is EUR HT at the posting date. Forecast rounds are R1 (April), R2 (July) and R3 (October).</w:t>
      </w:r>
    </w:p>
    <w:p>
      <w:pPr>
        <w:pStyle w:val="Heading2"/>
      </w:pPr>
      <w:r>
        <w:t xml:space="preserve">1. Forecast Total Project Cost</w:t>
      </w:r>
    </w:p>
    <w:p>
      <w:pPr>
        <w:spacing w:after="140"/>
      </w:pPr>
      <w:r>
        <w:t xml:space="preserve">Forecast Total Project Cost is the headline figure of the monthly investment review and the number the authority's quarterly PPI review is judged against.</w:t>
      </w:r>
    </w:p>
    <w:p>
      <w:pPr>
        <w:spacing w:after="140"/>
      </w:pPr>
      <w:r>
        <w:rPr>
          <w:b/>
          <w:bCs/>
        </w:rPr>
        <w:t xml:space="preserve">Definition.</w:t>
      </w:r>
      <w:r>
        <w:t xml:space="preserve"> Posted actuals plus valid uninvoiced accruals plus the forecast cost to complete, per project, EUR HT.</w:t>
      </w:r>
    </w:p>
    <w:p>
      <w:pPr>
        <w:spacing w:after="140"/>
      </w:pPr>
      <w:r>
        <w:rPr>
          <w:b/>
          <w:bCs/>
        </w:rPr>
        <w:t xml:space="preserve">Used for.</w:t>
      </w:r>
      <w:r>
        <w:t xml:space="preserve"> The monthly investment review and the quarterly PPI review.</w:t>
      </w:r>
    </w:p>
    <w:p>
      <w:pPr>
        <w:spacing w:after="140"/>
      </w:pPr>
      <w:r>
        <w:rPr>
          <w:b/>
          <w:bCs/>
        </w:rPr>
        <w:t xml:space="preserve">How it is calculated.</w:t>
      </w:r>
      <w:r>
        <w:t xml:space="preserve"> Accruals are reversed when the invoice arrives; the cost to complete excludes anything already accrued, so nothing is counted twice.</w:t>
      </w:r>
    </w:p>
    <w:p>
      <w:pPr>
        <w:spacing w:after="140"/>
      </w:pPr>
      <w:r>
        <w:rPr>
          <w:b/>
          <w:bCs/>
        </w:rPr>
        <w:t xml:space="preserve">Answers.</w:t>
      </w:r>
      <w:r>
        <w:t xml:space="preserve"> “Which renewal projects are forecasting above their approved budget, and by how much?”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p.project_code,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SUM(t.amount_eur) + COALESCE(a.accrued, 0) + f.ctc_committed_eur + f.ctc_uncommitted_eur + f.contingency_eur AS forecast_total_eur</w:t>
      </w:r>
    </w:p>
    <w:p>
      <w:r>
        <w:rPr>
          <w:rFonts w:ascii="Consolas" w:cs="Consolas" w:eastAsia="Consolas" w:hAnsi="Consolas"/>
          <w:sz w:val="18"/>
          <w:szCs w:val="18"/>
        </w:rPr>
        <w:t xml:space="preserve">FROM `ppm`.`project` p</w:t>
      </w:r>
    </w:p>
    <w:p>
      <w:r>
        <w:rPr>
          <w:rFonts w:ascii="Consolas" w:cs="Consolas" w:eastAsia="Consolas" w:hAnsi="Consolas"/>
          <w:sz w:val="18"/>
          <w:szCs w:val="18"/>
        </w:rPr>
        <w:t xml:space="preserve">JOIN `fin`.`cost_transaction` t ON t.project_code = p.project_code</w:t>
      </w:r>
    </w:p>
    <w:p>
      <w:r>
        <w:rPr>
          <w:rFonts w:ascii="Consolas" w:cs="Consolas" w:eastAsia="Consolas" w:hAnsi="Consolas"/>
          <w:sz w:val="18"/>
          <w:szCs w:val="18"/>
        </w:rPr>
        <w:t xml:space="preserve">LEFT JOIN (SELECT project_code, SUM(amount_eur) AS accrued FROM `fin`.`accrual_line` WHERE matched_invoice IS NULL GROUP BY 1) a ON a.project_code = p.project_code</w:t>
      </w:r>
    </w:p>
    <w:p>
      <w:r>
        <w:rPr>
          <w:rFonts w:ascii="Consolas" w:cs="Consolas" w:eastAsia="Consolas" w:hAnsi="Consolas"/>
          <w:sz w:val="18"/>
          <w:szCs w:val="18"/>
        </w:rPr>
        <w:t xml:space="preserve">JOIN `fin`.`forecast_snapshot` f ON f.project_code = p.project_code AND f.scenario = 'Working'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GROUP BY p.project_code, a.accrued, f.ctc_committed_eur, f.ctc_uncommitted_eur, f.contingency_eur;</w:t>
      </w:r>
    </w:p>
    <w:p>
      <w:pPr>
        <w:pStyle w:val="Heading2"/>
      </w:pPr>
      <w:r>
        <w:t xml:space="preserve">2. Operator Exposure</w:t>
      </w:r>
    </w:p>
    <w:p>
      <w:pPr>
        <w:spacing w:after="140"/>
      </w:pPr>
      <w:r>
        <w:t xml:space="preserve">Operator Exposure is what the Directrice générale reports to Keolis France — the part of the renewal programme Keolis Valmont itself bears.</w:t>
      </w:r>
    </w:p>
    <w:p>
      <w:pPr>
        <w:spacing w:after="140"/>
      </w:pPr>
      <w:r>
        <w:rPr>
          <w:b/>
          <w:bCs/>
        </w:rPr>
        <w:t xml:space="preserve">Definition.</w:t>
      </w:r>
      <w:r>
        <w:t xml:space="preserve"> Costs borne by Keolis Valmont under validated allocations: GER projects in the contract price plus its share of co-funded projects; unresolved exposure shown as a separate scenario.</w:t>
      </w:r>
    </w:p>
    <w:p>
      <w:pPr>
        <w:spacing w:after="140"/>
      </w:pPr>
      <w:r>
        <w:rPr>
          <w:b/>
          <w:bCs/>
        </w:rPr>
        <w:t xml:space="preserve">Used for.</w:t>
      </w:r>
      <w:r>
        <w:t xml:space="preserve"> The Keolis France investment committee.</w:t>
      </w:r>
    </w:p>
    <w:p>
      <w:pPr>
        <w:spacing w:after="140"/>
      </w:pPr>
      <w:r>
        <w:rPr>
          <w:b/>
          <w:bCs/>
        </w:rPr>
        <w:t xml:space="preserve">How it is calculated.</w:t>
      </w:r>
      <w:r>
        <w:t xml:space="preserve"> Never equal to project cost: an authority-funded renewal is not operator exposure, and a disputed recovery is not counted as certain.</w:t>
      </w:r>
    </w:p>
    <w:p>
      <w:pPr>
        <w:spacing w:after="140"/>
      </w:pPr>
      <w:r>
        <w:rPr>
          <w:b/>
          <w:bCs/>
        </w:rPr>
        <w:t xml:space="preserve">Answers.</w:t>
      </w:r>
      <w:r>
        <w:t xml:space="preserve"> “What is Keolis Valmont's own exposure on the renewal portfolio, separate from the authority's?”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p.project_code, b.funding_source, SUM(b.amount_eur) AS approved_eur</w:t>
      </w:r>
    </w:p>
    <w:p>
      <w:r>
        <w:rPr>
          <w:rFonts w:ascii="Consolas" w:cs="Consolas" w:eastAsia="Consolas" w:hAnsi="Consolas"/>
          <w:sz w:val="18"/>
          <w:szCs w:val="18"/>
        </w:rPr>
        <w:t xml:space="preserve">FROM `ppm`.`project` p</w:t>
      </w:r>
    </w:p>
    <w:p>
      <w:r>
        <w:rPr>
          <w:rFonts w:ascii="Consolas" w:cs="Consolas" w:eastAsia="Consolas" w:hAnsi="Consolas"/>
          <w:sz w:val="18"/>
          <w:szCs w:val="18"/>
        </w:rPr>
        <w:t xml:space="preserve">JOIN `fin`.`budget_line` b ON b.project_code = p.project_code</w:t>
      </w:r>
    </w:p>
    <w:p>
      <w:r>
        <w:rPr>
          <w:rFonts w:ascii="Consolas" w:cs="Consolas" w:eastAsia="Consolas" w:hAnsi="Consolas"/>
          <w:sz w:val="18"/>
          <w:szCs w:val="18"/>
        </w:rPr>
        <w:t xml:space="preserve">WHERE b.funding_source IN ('GER')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GROUP BY 1, 2;</w:t>
      </w:r>
    </w:p>
    <w:p>
      <w:pPr>
        <w:pStyle w:val="Heading2"/>
      </w:pPr>
      <w:r>
        <w:t xml:space="preserve">3. Service Availability Margin</w:t>
      </w:r>
    </w:p>
    <w:p>
      <w:pPr>
        <w:spacing w:after="140"/>
      </w:pPr>
      <w:r>
        <w:t xml:space="preserve">Service Availability Margin is checked before any vehicle withdrawal or track closure is approved.</w:t>
      </w:r>
    </w:p>
    <w:p>
      <w:pPr>
        <w:spacing w:after="140"/>
      </w:pPr>
      <w:r>
        <w:rPr>
          <w:b/>
          <w:bCs/>
        </w:rPr>
        <w:t xml:space="preserve">Definition.</w:t>
      </w:r>
      <w:r>
        <w:t xml:space="preserve"> Eligible available vehicles minus the peak requirement minus the agreed reserve, by vehicle class and day type.</w:t>
      </w:r>
    </w:p>
    <w:p>
      <w:pPr>
        <w:spacing w:after="140"/>
      </w:pPr>
      <w:r>
        <w:rPr>
          <w:b/>
          <w:bCs/>
        </w:rPr>
        <w:t xml:space="preserve">Used for.</w:t>
      </w:r>
      <w:r>
        <w:t xml:space="preserve"> Service planning and the weekly readiness call.</w:t>
      </w:r>
    </w:p>
    <w:p>
      <w:pPr>
        <w:spacing w:after="140"/>
      </w:pPr>
      <w:r>
        <w:rPr>
          <w:b/>
          <w:bCs/>
        </w:rPr>
        <w:t xml:space="preserve">How it is calculated.</w:t>
      </w:r>
      <w:r>
        <w:t xml:space="preserve"> Each unavailable vehicle is subtracted once, from its availability interval — an open work order alone does not make a vehicle unavailable.</w:t>
      </w:r>
    </w:p>
    <w:p>
      <w:pPr>
        <w:spacing w:after="140"/>
      </w:pPr>
      <w:r>
        <w:rPr>
          <w:b/>
          <w:bCs/>
        </w:rPr>
        <w:t xml:space="preserve">Answers.</w:t>
      </w:r>
      <w:r>
        <w:t xml:space="preserve"> “Do we have enough vehicles for peak service while assets are withdrawn for renewal?”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r.vehicle_class, r.day_type, r.peak_required, r.reserve_required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FROM `ops`.`service_requirement` r</w:t>
      </w:r>
    </w:p>
    <w:p>
      <w:r>
        <w:rPr>
          <w:rFonts w:ascii="Consolas" w:cs="Consolas" w:eastAsia="Consolas" w:hAnsi="Consolas"/>
          <w:sz w:val="18"/>
          <w:szCs w:val="18"/>
        </w:rPr>
        <w:t xml:space="preserve">WHERE r.timetable_version = 'HIV-2026';</w:t>
      </w:r>
    </w:p>
    <w:p>
      <w:pPr>
        <w:pStyle w:val="Heading2"/>
      </w:pPr>
      <w:r>
        <w:t xml:space="preserve">4. Schedule Variance</w:t>
      </w:r>
    </w:p>
    <w:p>
      <w:pPr>
        <w:spacing w:after="140"/>
      </w:pPr>
      <w:r>
        <w:t xml:space="preserve">Schedule Variance is the first thing the weekly project review looks at.</w:t>
      </w:r>
    </w:p>
    <w:p>
      <w:pPr>
        <w:spacing w:after="140"/>
      </w:pPr>
      <w:r>
        <w:rPr>
          <w:b/>
          <w:bCs/>
        </w:rPr>
        <w:t xml:space="preserve">Definition.</w:t>
      </w:r>
      <w:r>
        <w:t xml:space="preserve"> Current forecast milestone date minus the approved baseline milestone date, in working days.</w:t>
      </w:r>
    </w:p>
    <w:p>
      <w:pPr>
        <w:spacing w:after="140"/>
      </w:pPr>
      <w:r>
        <w:rPr>
          <w:b/>
          <w:bCs/>
        </w:rPr>
        <w:t xml:space="preserve">Used for.</w:t>
      </w:r>
      <w:r>
        <w:t xml:space="preserve"> The weekly project review.</w:t>
      </w:r>
    </w:p>
    <w:p>
      <w:pPr>
        <w:spacing w:after="140"/>
      </w:pPr>
      <w:r>
        <w:rPr>
          <w:b/>
          <w:bCs/>
        </w:rPr>
        <w:t xml:space="preserve">How it is calculated.</w:t>
      </w:r>
      <w:r>
        <w:t xml:space="preserve"> An approved re-baseline is shown as such; a supplier's new date in an email is not a schedule change until the project office records it.</w:t>
      </w:r>
    </w:p>
    <w:p>
      <w:pPr>
        <w:spacing w:after="140"/>
      </w:pPr>
      <w:r>
        <w:rPr>
          <w:b/>
          <w:bCs/>
        </w:rPr>
        <w:t xml:space="preserve">Answers.</w:t>
      </w:r>
      <w:r>
        <w:t xml:space="preserve"> “Which milestones have slipped against their approved baseline?”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s.project_code, s.task_name, s.baseline_finish, s.current_finish,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DATE_DIFF(s.current_finish, s.baseline_finish, DAY) AS variance_days</w:t>
      </w:r>
    </w:p>
    <w:p>
      <w:r>
        <w:rPr>
          <w:rFonts w:ascii="Consolas" w:cs="Consolas" w:eastAsia="Consolas" w:hAnsi="Consolas"/>
          <w:sz w:val="18"/>
          <w:szCs w:val="18"/>
        </w:rPr>
        <w:t xml:space="preserve">FROM `ppm`.`schedule_task` s</w:t>
      </w:r>
    </w:p>
    <w:p>
      <w:r>
        <w:rPr>
          <w:rFonts w:ascii="Consolas" w:cs="Consolas" w:eastAsia="Consolas" w:hAnsi="Consolas"/>
          <w:sz w:val="18"/>
          <w:szCs w:val="18"/>
        </w:rPr>
        <w:t xml:space="preserve">WHERE s.current_finish &gt; s.baseline_finish;</w:t>
      </w:r>
    </w:p>
    <w:p>
      <w:pPr>
        <w:pStyle w:val="Heading2"/>
      </w:pPr>
      <w:r>
        <w:t xml:space="preserve">5. Documented Acceptance Completeness</w:t>
      </w:r>
    </w:p>
    <w:p>
      <w:pPr>
        <w:spacing w:after="140"/>
      </w:pPr>
      <w:r>
        <w:t xml:space="preserve">Documented Acceptance Completeness decides whether a campaign can be reported as complete to the authority.</w:t>
      </w:r>
    </w:p>
    <w:p>
      <w:pPr>
        <w:spacing w:after="140"/>
      </w:pPr>
      <w:r>
        <w:rPr>
          <w:b/>
          <w:bCs/>
        </w:rPr>
        <w:t xml:space="preserve">Definition.</w:t>
      </w:r>
      <w:r>
        <w:t xml:space="preserve"> Verified required acceptance items divided by applicable required items, per project.</w:t>
      </w:r>
    </w:p>
    <w:p>
      <w:pPr>
        <w:spacing w:after="140"/>
      </w:pPr>
      <w:r>
        <w:rPr>
          <w:b/>
          <w:bCs/>
        </w:rPr>
        <w:t xml:space="preserve">Used for.</w:t>
      </w:r>
      <w:r>
        <w:t xml:space="preserve"> Handover and the PPI claim evidence pack.</w:t>
      </w:r>
    </w:p>
    <w:p>
      <w:pPr>
        <w:spacing w:after="140"/>
      </w:pPr>
      <w:r>
        <w:rPr>
          <w:b/>
          <w:bCs/>
        </w:rPr>
        <w:t xml:space="preserve">How it is calculated.</w:t>
      </w:r>
      <w:r>
        <w:t xml:space="preserve"> Completeness is not permission to operate; release for duty is issued separately by operations.</w:t>
      </w:r>
    </w:p>
    <w:p>
      <w:pPr>
        <w:spacing w:after="140"/>
      </w:pPr>
      <w:r>
        <w:rPr>
          <w:b/>
          <w:bCs/>
        </w:rPr>
        <w:t xml:space="preserve">Answers.</w:t>
      </w:r>
      <w:r>
        <w:t xml:space="preserve"> “Which campaigns are installed but not yet accepted?”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a.project_code, COUNTIF(a.result = 'Passed') / COUNT(*) AS completeness</w:t>
      </w:r>
    </w:p>
    <w:p>
      <w:r>
        <w:rPr>
          <w:rFonts w:ascii="Consolas" w:cs="Consolas" w:eastAsia="Consolas" w:hAnsi="Consolas"/>
          <w:sz w:val="18"/>
          <w:szCs w:val="18"/>
        </w:rPr>
        <w:t xml:space="preserve">FROM `ppm`.`acceptance_item` a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GROUP BY a.project_code;</w:t>
      </w:r>
    </w:p>
    <w:p>
      <w:pPr>
        <w:pStyle w:val="Heading2"/>
      </w:pPr>
      <w:r>
        <w:t xml:space="preserve">6. Renewal Backlog</w:t>
      </w:r>
    </w:p>
    <w:p>
      <w:pPr>
        <w:spacing w:after="140"/>
      </w:pPr>
      <w:r>
        <w:t xml:space="preserve">Renewal Backlog is presented to the authority at each quarterly PPI review.</w:t>
      </w:r>
    </w:p>
    <w:p>
      <w:pPr>
        <w:spacing w:after="140"/>
      </w:pPr>
      <w:r>
        <w:rPr>
          <w:b/>
          <w:bCs/>
        </w:rPr>
        <w:t xml:space="preserve">Definition.</w:t>
      </w:r>
      <w:r>
        <w:t xml:space="preserve"> Validated intervention needs not yet completed, by status: unfunded, option study, deferred, approved.</w:t>
      </w:r>
    </w:p>
    <w:p>
      <w:pPr>
        <w:spacing w:after="140"/>
      </w:pPr>
      <w:r>
        <w:rPr>
          <w:b/>
          <w:bCs/>
        </w:rPr>
        <w:t xml:space="preserve">Used for.</w:t>
      </w:r>
      <w:r>
        <w:t xml:space="preserve"> The quarterly PPI review and the annual renewal programme.</w:t>
      </w:r>
    </w:p>
    <w:p>
      <w:pPr>
        <w:spacing w:after="140"/>
      </w:pPr>
      <w:r>
        <w:rPr>
          <w:b/>
          <w:bCs/>
        </w:rPr>
        <w:t xml:space="preserve">How it is calculated.</w:t>
      </w:r>
      <w:r>
        <w:t xml:space="preserve"> Overlapping options for the same need are counted once; safety and mandatory needs are flagged and cannot be traded away by a score.</w:t>
      </w:r>
    </w:p>
    <w:p>
      <w:pPr>
        <w:spacing w:after="140"/>
      </w:pPr>
      <w:r>
        <w:rPr>
          <w:b/>
          <w:bCs/>
        </w:rPr>
        <w:t xml:space="preserve">Answers.</w:t>
      </w:r>
      <w:r>
        <w:t xml:space="preserve"> “Which assets must be renewed, and which needs are still unfunded?”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n.status, COUNT(*) AS needs, SUM(n.estimate_eur) AS estimate_eur</w:t>
      </w:r>
    </w:p>
    <w:p>
      <w:r>
        <w:rPr>
          <w:rFonts w:ascii="Consolas" w:cs="Consolas" w:eastAsia="Consolas" w:hAnsi="Consolas"/>
          <w:sz w:val="18"/>
          <w:szCs w:val="18"/>
        </w:rPr>
        <w:t xml:space="preserve">FROM `ppm`.`intervention_need` n</w:t>
      </w:r>
    </w:p>
    <w:p>
      <w:r>
        <w:rPr>
          <w:rFonts w:ascii="Consolas" w:cs="Consolas" w:eastAsia="Consolas" w:hAnsi="Consolas"/>
          <w:sz w:val="18"/>
          <w:szCs w:val="18"/>
        </w:rPr>
        <w:t xml:space="preserve">WHERE n.status &lt;&gt; 'Approved'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GROUP BY n.status;</w:t>
      </w:r>
    </w:p>
    <w:p>
      <w:pPr>
        <w:pStyle w:val="Heading2"/>
      </w:pPr>
      <w:r>
        <w:t xml:space="preserve">7. Approved Funding Gap</w:t>
      </w:r>
    </w:p>
    <w:p>
      <w:pPr>
        <w:spacing w:after="140"/>
      </w:pPr>
      <w:r>
        <w:t xml:space="preserve">Approved Funding Gap is escalated to the authority when it exceeds €250,000 on a project.</w:t>
      </w:r>
    </w:p>
    <w:p>
      <w:pPr>
        <w:spacing w:after="140"/>
      </w:pPr>
      <w:r>
        <w:rPr>
          <w:b/>
          <w:bCs/>
        </w:rPr>
        <w:t xml:space="preserve">Definition.</w:t>
      </w:r>
      <w:r>
        <w:t xml:space="preserve"> Forecast fundable expenditure minus applicable approved funding, per PPI project.</w:t>
      </w:r>
    </w:p>
    <w:p>
      <w:pPr>
        <w:spacing w:after="140"/>
      </w:pPr>
      <w:r>
        <w:rPr>
          <w:b/>
          <w:bCs/>
        </w:rPr>
        <w:t xml:space="preserve">Used for.</w:t>
      </w:r>
      <w:r>
        <w:t xml:space="preserve"> The quarterly PPI review.</w:t>
      </w:r>
    </w:p>
    <w:p>
      <w:pPr>
        <w:spacing w:after="140"/>
      </w:pPr>
      <w:r>
        <w:rPr>
          <w:b/>
          <w:bCs/>
        </w:rPr>
        <w:t xml:space="preserve">How it is calculated.</w:t>
      </w:r>
      <w:r>
        <w:t xml:space="preserve"> Scope, caps and co-funding rules apply; costs the convention does not cover are labelled separately rather than netted.</w:t>
      </w:r>
    </w:p>
    <w:p>
      <w:pPr>
        <w:spacing w:after="140"/>
      </w:pPr>
      <w:r>
        <w:rPr>
          <w:b/>
          <w:bCs/>
        </w:rPr>
        <w:t xml:space="preserve">Answers.</w:t>
      </w:r>
      <w:r>
        <w:t xml:space="preserve"> “Where does the forecast exceed the funding the authority has approved?”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f.project_code, SUM(f.ctc_committed_eur + f.ctc_uncommitted_eur) AS remaining_eur</w:t>
      </w:r>
    </w:p>
    <w:p>
      <w:r>
        <w:rPr>
          <w:rFonts w:ascii="Consolas" w:cs="Consolas" w:eastAsia="Consolas" w:hAnsi="Consolas"/>
          <w:sz w:val="18"/>
          <w:szCs w:val="18"/>
        </w:rPr>
        <w:t xml:space="preserve">FROM `fin`.`forecast_snapshot` f</w:t>
      </w:r>
    </w:p>
    <w:p>
      <w:r>
        <w:rPr>
          <w:rFonts w:ascii="Consolas" w:cs="Consolas" w:eastAsia="Consolas" w:hAnsi="Consolas"/>
          <w:sz w:val="18"/>
          <w:szCs w:val="18"/>
        </w:rPr>
        <w:t xml:space="preserve">WHERE f.scenario = 'Working'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GROUP BY 1;</w:t>
      </w:r>
    </w:p>
    <w:p>
      <w:pPr>
        <w:pStyle w:val="Heading2"/>
      </w:pPr>
      <w:r>
        <w:t xml:space="preserve">8. Failure Frequency</w:t>
      </w:r>
    </w:p>
    <w:p>
      <w:pPr>
        <w:spacing w:after="140"/>
      </w:pPr>
      <w:r>
        <w:t xml:space="preserve">Failure Frequency is how the maintenance team argues for renewal ahead of the contractual replacement date.</w:t>
      </w:r>
    </w:p>
    <w:p>
      <w:pPr>
        <w:spacing w:after="140"/>
      </w:pPr>
      <w:r>
        <w:rPr>
          <w:b/>
          <w:bCs/>
        </w:rPr>
        <w:t xml:space="preserve">Definition.</w:t>
      </w:r>
      <w:r>
        <w:t xml:space="preserve"> Relevant heavy-component failures per 100,000 km, by vehicle series.</w:t>
      </w:r>
    </w:p>
    <w:p>
      <w:pPr>
        <w:spacing w:after="140"/>
      </w:pPr>
      <w:r>
        <w:rPr>
          <w:b/>
          <w:bCs/>
        </w:rPr>
        <w:t xml:space="preserve">Used for.</w:t>
      </w:r>
      <w:r>
        <w:t xml:space="preserve"> The annual renewal programme.</w:t>
      </w:r>
    </w:p>
    <w:p>
      <w:pPr>
        <w:spacing w:after="140"/>
      </w:pPr>
      <w:r>
        <w:rPr>
          <w:b/>
          <w:bCs/>
        </w:rPr>
        <w:t xml:space="preserve">How it is calculated.</w:t>
      </w:r>
      <w:r>
        <w:t xml:space="preserve"> Months with a meter reset are excluded; the peer group is the same vehicle class.</w:t>
      </w:r>
    </w:p>
    <w:p>
      <w:pPr>
        <w:spacing w:after="140"/>
      </w:pPr>
      <w:r>
        <w:rPr>
          <w:b/>
          <w:bCs/>
        </w:rPr>
        <w:t xml:space="preserve">Answers.</w:t>
      </w:r>
      <w:r>
        <w:t xml:space="preserve"> “Which vehicle series fail most often, per kilometre run?”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a.model, COUNT(f.failure_id) / (SUM(u.distance_km) / 100000) AS failures_per_100k_km</w:t>
      </w:r>
    </w:p>
    <w:p>
      <w:r>
        <w:rPr>
          <w:rFonts w:ascii="Consolas" w:cs="Consolas" w:eastAsia="Consolas" w:hAnsi="Consolas"/>
          <w:sz w:val="18"/>
          <w:szCs w:val="18"/>
        </w:rPr>
        <w:t xml:space="preserve">FROM `eam`.`failure_event` f</w:t>
      </w:r>
    </w:p>
    <w:p>
      <w:r>
        <w:rPr>
          <w:rFonts w:ascii="Consolas" w:cs="Consolas" w:eastAsia="Consolas" w:hAnsi="Consolas"/>
          <w:sz w:val="18"/>
          <w:szCs w:val="18"/>
        </w:rPr>
        <w:t xml:space="preserve">JOIN `eam`.`asset_register` a ON a.asset_id = f.asset_id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JOIN `eam`.`usage_monthly` u ON u.asset_id = f.asset_id AND u.meter_reset_flag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GROUP BY a.model;</w:t>
      </w:r>
    </w:p>
    <w:p>
      <w:pPr>
        <w:pStyle w:val="Heading2"/>
      </w:pPr>
      <w:r>
        <w:t xml:space="preserve">9. Open Commitment</w:t>
      </w:r>
    </w:p>
    <w:p>
      <w:pPr>
        <w:spacing w:after="140"/>
      </w:pPr>
      <w:r>
        <w:t xml:space="preserve">Open Commitment is reconciled with procurement at every month-end close.</w:t>
      </w:r>
    </w:p>
    <w:p>
      <w:pPr>
        <w:spacing w:after="140"/>
      </w:pPr>
      <w:r>
        <w:rPr>
          <w:b/>
          <w:bCs/>
        </w:rPr>
        <w:t xml:space="preserve">Definition.</w:t>
      </w:r>
      <w:r>
        <w:t xml:space="preserve"> Ordered value less received and cancelled value, per PO line, at the line's valuation basis.</w:t>
      </w:r>
    </w:p>
    <w:p>
      <w:pPr>
        <w:spacing w:after="140"/>
      </w:pPr>
      <w:r>
        <w:rPr>
          <w:b/>
          <w:bCs/>
        </w:rPr>
        <w:t xml:space="preserve">Used for.</w:t>
      </w:r>
      <w:r>
        <w:t xml:space="preserve"> The month-end close.</w:t>
      </w:r>
    </w:p>
    <w:p>
      <w:pPr>
        <w:spacing w:after="140"/>
      </w:pPr>
      <w:r>
        <w:rPr>
          <w:b/>
          <w:bCs/>
        </w:rPr>
        <w:t xml:space="preserve">How it is calculated.</w:t>
      </w:r>
      <w:r>
        <w:t xml:space="preserve"> Unpaid invoices are not future work; a supplier's revised promise does not change the commitment.</w:t>
      </w:r>
    </w:p>
    <w:p>
      <w:pPr>
        <w:spacing w:after="140"/>
      </w:pPr>
      <w:r>
        <w:rPr>
          <w:b/>
          <w:bCs/>
        </w:rPr>
        <w:t xml:space="preserve">Answers.</w:t>
      </w:r>
      <w:r>
        <w:t xml:space="preserve"> “How much is committed on each project but not yet received?”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l.project_code, SUM(l.ordered_eur - l.received_eur - l.cancelled_eur) AS open_commitment_eur</w:t>
      </w:r>
    </w:p>
    <w:p>
      <w:r>
        <w:rPr>
          <w:rFonts w:ascii="Consolas" w:cs="Consolas" w:eastAsia="Consolas" w:hAnsi="Consolas"/>
          <w:sz w:val="18"/>
          <w:szCs w:val="18"/>
        </w:rPr>
        <w:t xml:space="preserve">FROM `proc`.`po_line` l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GROUP BY 1;</w:t>
      </w:r>
    </w:p>
    <w:p>
      <w:pPr>
        <w:spacing w:after="140"/>
      </w:pPr>
      <w:r>
        <w:rPr>
          <w:i/>
          <w:iCs/>
          <w:color w:val="5B6472"/>
        </w:rPr>
        <w:t xml:space="preserve">Hypothetical demonstration document. Keolis Valmont, Valmont Métropole, the contract and every figure are fictional.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0"/>
        <w:sz w:val="15"/>
        <w:szCs w:val="15"/>
      </w:rPr>
      <w:t xml:space="preserve">Keolis Valmont — hypothetical demonstration document for ContextWeave · 24 September 2026  ·  page </w:t>
    </w:r>
    <w:r>
      <w:rPr>
        <w:color w:val="8A93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2026-09-25T01:26:30.709Z</dcterms:created>
  <dcterms:modified xsi:type="dcterms:W3CDTF">2026-09-25T01:26:30.709Z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