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FASE 1 – VISITAS TÉCNICAS</w:t>
      </w:r>
    </w:p>
    <w:p>
      <w:r>
        <w:t>Como estratégia de otimização técnica e operacional, prevê-se a realização de campanha de visitas técnicas em unidades representativas, contemplando diferentes tipologias operacionais e níveis de geração de resíduos.</w:t>
      </w:r>
    </w:p>
    <w:p>
      <w:r>
        <w:t>As visitas técnicas e a caracterização gravimétrica constituem etapa obrigatória do escopo, devendo contemplar, no mínimo, as unidades individualizadas de maior geração e amostras representativas dos PGRS agrupados, conforme plano de amostragem previamente aprovado pela CONTRATANTE.</w:t>
      </w:r>
    </w:p>
    <w:p>
      <w:r>
        <w:t>A campanha deverá ser dimensionada em 2 (dois) cenários, devendo a CONTRATADA apresentar proposta de preços para cada um deles:</w:t>
      </w:r>
    </w:p>
    <w:p>
      <w:pPr>
        <w:pStyle w:val="ListBullet"/>
      </w:pPr>
      <w:r>
        <w:rPr>
          <w:b/>
        </w:rPr>
        <w:t xml:space="preserve">Cenário mínimo (obrigatório): </w:t>
      </w:r>
      <w:r>
        <w:t>no mínimo 14 (quatorze) visitas técnicas, conforme cronograma de amostragem previamente informado e aprovado pela CONTRATANTE, contemplando as unidades individualizadas de maior geração e amostras representativas dos PGRS agrupados;</w:t>
      </w:r>
    </w:p>
    <w:p>
      <w:pPr>
        <w:pStyle w:val="ListBullet"/>
      </w:pPr>
      <w:r>
        <w:rPr>
          <w:b/>
        </w:rPr>
        <w:t xml:space="preserve">Cenário desejável (recomendado): </w:t>
      </w:r>
      <w:r>
        <w:t>1 (uma) visita técnica por PGRS elaborado, totalizando 36 (trinta e seis) visitas, de forma a cobrir individualmente cada plano.</w:t>
      </w:r>
    </w:p>
    <w:p>
      <w:r>
        <w:t>Em ambos os cenários, cada visita compreende:</w:t>
      </w:r>
    </w:p>
    <w:p>
      <w:pPr>
        <w:pStyle w:val="ListBullet"/>
      </w:pPr>
      <w:r>
        <w:t>Levantamento de dados operacionais in loco;</w:t>
      </w:r>
    </w:p>
    <w:p>
      <w:pPr>
        <w:pStyle w:val="ListBullet"/>
      </w:pPr>
      <w:r>
        <w:t>Registro fotográfico;</w:t>
      </w:r>
    </w:p>
    <w:p>
      <w:pPr>
        <w:pStyle w:val="ListBullet"/>
      </w:pPr>
      <w:r>
        <w:t>Validação das informações utilizadas nos diagnósticos;</w:t>
      </w:r>
    </w:p>
    <w:p>
      <w:pPr>
        <w:pStyle w:val="ListBullet"/>
      </w:pPr>
      <w:r>
        <w:t>Realização de caracterização gravimétrica, com segregação, pesagem, cálculo percentual das frações e consolidação dos resultados;</w:t>
      </w:r>
    </w:p>
    <w:p>
      <w:pPr>
        <w:pStyle w:val="ListBullet"/>
      </w:pPr>
      <w:r>
        <w:t>Elaboração de relatório técnico específico da campanha de visitas e gravimetria.</w:t>
      </w:r>
    </w:p>
    <w:p>
      <w:r>
        <w:rPr>
          <w:i/>
          <w:sz w:val="18"/>
        </w:rPr>
        <w:t>Nota 1: A qualidade e o nível de detalhamento dos PGRS estarão diretamente relacionados à disponibilidade e consistência das informações fornecidas pela CONTRATANTE, e diretamente validadas e analisadas criticamente pela CONTRATADA nas fases 1 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