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"RUN-CATMAN-RU-V2-20260817-001",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"CATMAN-RU-V2-EVIDENCE-AND-SOLUTIONS",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"2.0",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"orchestrator": "Gemini-Spark-V2-Swarm-Orchestrator",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"real_subagent_spawn_available": true,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"separate_contexts_available": true,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"parallel_execution_available": true,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"web_access_per_subagent": true,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"file_output_per_subagent": true,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"max_concurrency_observed": 10,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"probes": [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"probe_id": "T01",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"nonce": "V2_CAP_NONCE_T01_77491028",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"PASS",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"verified_topic": "Retail.ru &amp; TAdviser live SCM/CatMan web scan"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"probe_id": "T02",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"nonce": "V2_CAP_NONCE_T02_93810452",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"PASS",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"verified_topic": "INFOLine &amp; Private Label / Logistics live web scan"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"attestation_status": "PASS_REAL_SWARM_V2",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"limitations":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"Subagents cannot spawn further nested subagents (flat wave orchestration only).",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"Baseline cutoff: 2026-08-14; post-baseline delta tagged explicitly.",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"Cold-layer 2019-2023 evidence does not increase Current Demand Score."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"timestamp": "2026-08-17T09:31:20.179953+00:00"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