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16. Атлас паттернов решений (Solution Pattern Atlas V2)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**Версия:** 2.0 (Frozen)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**Research Cutoff:** `2026-08-14` (Дельта-анализ: `2026-08-17`)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**Основа доказательной базы:** `06_v2_evidence_repaired.jsonl` (227 верифицированных свидетельств)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Сводный реестр архитектурных паттернов решений (Pattern Catalog)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Pattern ID | Каноническое название паттерна | Домен CatMan | Статус зрелости | Зрелость спроса (0-5) | Подтвержденные внедрения в рознице РФ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 | :--- | :---: | :---: | :---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**`V2-PAT-01`** | **Dynamic Clearance, Expiration Control &amp; DataMatrix POS Integration** | Fresh / Ultra-Fresh / RTE | `observed_production` | **Stage 4** | ВкусВилл (Зеленые ценники / Стоп-листы), Ашан (#БЕЗостатка), X5 Group (Честный Знак / Кафе Select), Лента (СуперМаг Vision / Киты еды)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**`V2-PAT-02`** | **Space-to-Shelf Automation: Schemograms, Floor Layout &amp; Mobile CV** | Space Management / Operations | `observed_production` | **Stage 4** | Лента (Схемограммы -48% труда), Ашан (Модули T0-T4), Перекрёсток (Индивидуальные планограммы), Магнит (Image Recognition), О'КЕЙ/ДА! (SRP)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**`V2-PAT-03`** | **Private Label (СТМ) Tiering, Formula Indexation &amp; Capacity Reservation** | Assortment / Private Label | `observed_production` | **Stage 5** | X5 Group (Чижик 60% / Пятёрочка 25.4%), Магнит (&gt;1 трлн руб. СТМ), Ашан (27% СТМ), ВкусВилл (97% СТМ), ДА! (50-55%), Metro (Metro Chef 33%)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**`V2-PAT-04`** | **In-House Distributed F&amp;R Core &amp; Algorithmic Phantom OOS Elimination** | SCM / Replenishment / IT Core | `observed_pilot` | **Stage 3** | Магнит Tech (In-house F&amp;R РЦ Киров, Magnit OSA 19k магазинов), X5 Tech (ACE / CoPilot), Дикси (Rubbles F&amp;R), ДА! (Novo Forecast Enterprise)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**`V2-PAT-05`** | **Unified Net-Net Commercial Model &amp; Dynamic Algorithmic Pricing (RGM)** | Commercial Terms / Pricing | `observed_pilot` | **Stage 3** | Ашан (SmartPricing 229 объектов), Магнит Tech (SLSQP оптимизатор), Лента (Net-Net переговоры), К&amp;Б (EDLP 1.5-2%), Светофор (EDLP &lt;=15%)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**`V2-PAT-06`** | **Pragmatic Macro-Clustering &amp; Assortment Rationalization (Cost-to-Serve)** | Space / Supply Chain Logistics | `observed_production` | **Stage 4** | X5 ОКОЛО (2 SKU лимит), К&amp;Б (1500 SKU лимит), Светофор (800-900 SKU), Магнит (3-4 макро-кластера на формат), Лента (Семья 500 SKU)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V2-PAT-01 — Dynamic Clearance, Expiration Control &amp; DataMatrix POS Integration Platform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Алгоритмическое предиктивное управление уценкой скоропорта (Fresh, Ultra-Fresh, Ready-to-Eat / кулинария) на кассовом узле (POS) и в мобильных приложениях на основе интеграции с государственной системой цифровой маркировки «Честный ЗНАК» (2D DataMatrix) и внутрисетевыми партионными стоп-листами (блокировка за 5-15 минут, динамический расчет ступенчатой скидки от -20% до -50% под спрос и остаточный срок, CVM-дистрибуция «Зеленые ценники»).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`observed_production` (Зрелость спроса: **Stage 4**)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ВкусВилл (R06): система «Зеленые ценники» (-40%), кассовые стоп-листы за 5-15 минут (R06-E0003), мобильный AI-бот CV для свежести ФРОВ со снижением потерь на 14.3% (R06-E0010)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Ашан (R07): внедрение ПО #БЕЗостатка на 229 гипермаркетах/супермаркетах со снижением продуктовых потерь на 15.8 тыс. тонн/год и экономией &gt;80 млн руб./год (R07-E0010)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Group (R01): интеграция кассового ПО с ГИС «Честный Знак» (R01-E0010), авто-уценка хлеба и молока в X5 Dialog (-25% списаний), 500 кафе Select (R01-E0001, R01-E0011)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весовой CV «СуперМаг Vision» в 62 гипермаркетах (-0.71% списаний скоропорта) (R04-E0009), фабрика-кухня (R04-E0005) и марка кулинарии «Киты еды» (105 SKU) в Монетке (R04-E0008)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- 100% оснащение касс и КСО 2D-сканерами DataMatrix GS1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Партионный учет в ERP/WMS с точной фиксацией срока годности каждой партии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Низколатентная шина репликации стоп-листов на кассы (&lt;= 5-15 минут)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Утренние и дневные мобильные инспекции полок персоналом с ТСД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Коллапс ручной перемаркировки стикерами при кадровом дефиците (hh-индекс 3.3)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Каннибализация регулярного спроса (промо-хантинг) при дневных скидках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Слепая зона открытой весовой кулинарии и салатов без индивидуального фабричного штрихкода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списаний скоропорта (waste/spoilage rate) на 15–28%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валовой маржинальности категорий Fresh/RTE на +1.2..+1.8 п.п.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Прямая экономия &gt;80 млн руб./год (кейс Ашан #БЕЗостатка)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потерь ФРОВ в деньгах на -14.3% (кейс ВкусВилл CV-бот)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Стандартизация цифровой уценки весовой кулинарии открытого прилавка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Assumption: Стабильность государственных API системы «Честный Знак»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V2-PAT-02 — Space-to-Shelf Automation: Schemograms, Floor Layout Standardization &amp; Mobile CV Audit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Переход от детализированных поштучных микропланограмм к блочным схемограммам (брендовые и ценовые блоки с авто-расчетом фейсингов по дням запаса DOS), модульной типизации торговых залов (T0–T4), внедрению стандартов транспортной упаковки Shelf-Ready Packaging (SRP) и мобильному аудиту выкладки через Computer Vision / Image Recognition на ТСД.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`observed_production` (Зрелость спроса: **Stage 4**)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переход гипермаркетов на блочные схемограммы (-48% трудозатрат персонала, R04-E0002), приложение «Лента Спутник», Instant Merch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Ашан (R07): модульная типизация супермаркетов на 4 формата (T0–T4), ремоделинг гипермаркетов и сокращение non-food площадей (R07-E0002)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Group / Перекрёсток (R01): автоматическая генерация индивидуальных помагазинных планограмм под 3D-габариты стеллажей (R01-E0007), пилот CV Shelf Sense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Магнит (R02): нейросетевое распознавание выкладки Image Recognition по 20 000+ SKU (R02-E0005)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О’КЕЙ / ДА! (R10): стандарты Shelf-Ready Packaging (SRP) для дискаунтеров, нормирование выкладки в MD Audit (-13% затрат) (R10-E0006, R10-E0010)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Светофор (R05): предельная форма упрощения со 100% паллетной выкладкой без полок и планограмм на 800–900 SKU (R05-E0002, R05-E0004)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Цифровые 3D CAD-паспорта полочного оборудования по каждому объекту сети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Справочник мастер-данных ВГХ упаковок и кратности SRP коробок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Алгоритмический расчет оборачиваемости (Days of Supply / DOS) для ширины блоков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- 100% оснащение персонала мобильными ТСД со сканером и камерой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Конфликты с CPG-поставщиками по контрактам Share of Shelf из-за произвольной блочной расстановки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Маскировка дефицита (растягивание соседних фейсингов сотрудниками)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Экономическая нецелесообразность стационарных полочных камер (CAPEX &gt;1.5 млрд руб.)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трудозатрат персонала на смену выкладки на 48% (кейс Лента, R04-E0002)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доступности на полке (OSA) на +2.0..+2.2 п.п. и комплаенса выкладки до 88% (+30 п.п.)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затрат на планирование ротации полок на 13% (кейс О'КЕЙ MD Audit)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Ускорение аудита секции стеллажа с 15 минут до 30 секунд (кейс Магнит IR)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Готовность региональных поставщиков соблюдать нормативы SRP без доплат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Сроки гармонизации JBP-контрактов при переходе от точечных фейсингов к Share of Shelf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V2-PAT-03 — Private Label (СТМ) Tiering Architecture, Formula Indexation &amp; Capacity Reservation Engine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Трехуровневая архитектура портфеля СТМ (First Price, Core, Premium Selection) с разделением покупательских миссий; формульный расчет себестоимости (Formula-based Target Costing) с привязкой к биржевым индексам сырья и упаковки; долгосрочное резервирование мощностей контрактных производств (2-3-летние соглашения с Capacity Allocation); жесткий 6-месячный гейт-контроль делистинга неликвидов.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`observed_production` (Зрелость спроса: **Stage 5**)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Group (R01): Доля СТМ в Чижике достигла 60%, в Пятёрочке 25.4%, выручка СТМ группы 584.8 млрд руб. (R01-E0004)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Магнит (R02): Выручка СТМ превысила 1 трлн руб., 3 яруса (Моя Цена, Магнит, Premier), 20 собственных производств (R02-E0008)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Ашан (R07): Доля СТМ 27% (Красная/Золотая птица), мясокомбинат обеспечивает 56% мясной полки (R07-E0003, R07-E0011)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ВкусВилл (R06): Модель 97-100% СТМ (361 млрд руб. выручки), ускорение дизайна упаковок нейросетями в 4 раза (R06-E0001, R06-E0012)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О'КЕЙ / ДА! (R10): Доля СТМ в ДА! достигла 50-55%, пирамида СТМ в О'КЕЙ на 4500 SKU (R10-E0004, R10-E0005)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Metro (R08): Портфель 4500 SKU (20% выручки), доля СТМ в HoReCa (Metro Chef, Rioba) достигает 33% (V2R08-E0005)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Запуск СТМ кулинарии «Киты еды» (105 SKU) в Монетке (4000 магазинов) (R04-E0008)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Оцифрованная структура себестоимости (Bill of Materials) по категориям сырья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Интеграция формульных котировок бирж (молоко, зерно, масло, сахар, полимеры) в ERP/SRM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Лабораторный контур независимого контроля качества (QA Lab)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Регламент обязательного 6-месячного цикла аудита и делистинга новинок СТМ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Светофор (R05): Осознанный отказ от классического СТМ ради наценки &lt;15% на спотовых закупках (R05-E0001)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Красное &amp; Белое (R03): Сокращение регистрации новых марок СТМ на 40% из-за дефицита качественных ко-пакеров (R03-E0006)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Саботаж модели Open-Book независимыми пищевыми фабриками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Скрытая фальсификация рецептур при жесткой заморозке контрактных цен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Совокупный объем рынка СТМ Top-10 сетей РФ достиг 2,35 трлн руб. (+24% YoY, INFOLine) (X04-E0001)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Маржинальный спред СТМ к брендам поставщиков: +2.5..+4.0 п.п. (до +4.0..+6.0 п.п. в среднем и премиум ярусах)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Доля СТМ в дискаунтерах: 50–60% (Чижик, ДА!) и 97–100% во ВкусВилле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Time-to-Market дизайна упаковки СТМ во ВкусВилле в 4 раза со снижением затрат на 60% (R06-E0012)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Доля ко-пакеров, готовых подписывать долгосрочные формульные контракты без права выхода (оценочно 30–45%)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Объемы утилизационных списаний брендированной упаковки при 6-месячном делистинге неликвидов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V2-PAT-04 — In-House Distributed F&amp;R Platform &amp; Algorithmic Phantom OOS Elimination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Двухконтурная архитектура сквозного товародвижения: 1) Распределенное ядро прогнозирования спроса и автопополнения (F&amp;R) на открытом стеке (Apache Ignite, Kafka, Spark, Trino, Flink) с ML-ансамблем (CatBoost/XGBoost, модели Кростона) с горизонтом до 90 дней (РЦ -&gt; магазин -&gt; полка); 2) Аналитический контур детекции «фантомных/виртуальных остатков» по транзакциям POS-чеков реального времени (CUSUM, zero-sales) с выдачей таргетированных задач на ТСД персонала магазина.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`observed_pilot` (Зрелость спроса: **Stage 3**)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Магнит Tech (R02): In-house F&amp;R Core на РЦ Киров (&gt;600 магазинов, R02-E0002) и платформа Magnit OSA на 19 000 магазинов (R02-E0004)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Tech (R01): Платформа автопополнения и прогнозирования на Spark/Kafka/ClickHouse и агенты ACE (R01-E0005)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Дикси (R02): Внедрение ML-платформы автозаказа Rubbles Planning Force / Replenishment (R02-E0003)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ДА! (R10): Внедрение IBP-системы цифрового прогнозирования спроса Novo Forecast Enterprise (R10-E0007)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Эксплуатация внутреннего ML-модуля Lenta Tech на XGBoost (15 млн рядов/день) (R04-E0004)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Стриминговая инфраструктура данных (Kafka, Debezium, Spark, in-memory кэш Apache Ignite)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Поминутный поток чековых POS-транзакций без ночной пакетизации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Мобильный интерфейс сотрудника зала на ТСД с функцией локальной инвентаризации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Очищенный справочник мастер-данных логистических квантов и вместимости полок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Многолетние сроки разработки (3–4 года R&amp;D силами команды 200+ инженеров)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Ложные срабатывания детектора OOS (35–45% False Positive Rate) из-за пересортицы на кассах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Заморозка миграции в сетях Tier-2 (О'КЕЙ, Metro), продолжающих эксплуатацию SAP/Dynamics AX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товарных запасов в днях на РЦ на -10% (Магнит, РЦ Киров, R02-E0002)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Не менее 12 млн руб. ежедневно спасенных продаж от отработки сигналов OSA (Магнит OSA, R02-E0004)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Десятки миллиардов рублей долгосрочного эффекта на EBITDA от снижения оверстока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Сроки завершения тиражирования in-house F&amp;R на 33 000+ магазинов Магнита к 2027 г.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TCO собственной разработки против коммерческих лицензий (Rubbles, Novo BI, GoodsForecast) на 5 лет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V2-PAT-05 — Unified Net-Net Commercial Model &amp; Dynamic Algorithmic Pricing Engine (RGM)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Ликвидация непрозрачной бэк-маржи и ретро-бонусов в пользу единой чистой цены в накладной (Net-Net), совмещенная с многотоварным алгоритмическим ценообразованием: разделение на социально значимые KVI (жесткие потолки наценок ФАС 4.7-5.0% и Price Index) и неэластичную бэк-корзину, где ML-оптимизаторы (SLSQP, кросс-эластичность) динамически максимизируют Gross Margin RUB.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`observed_pilot` (Зрелость спроса: **Stage 3**)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Ашан (R07): Развертывание платформы SmartPricing на 229 объектах (+6% маржи, +4% ТО) (R07-E0005, R07-E0017)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Магнит Tech (R02): ML-оптимизатор регулярных цен на SLSQP с микрокластеризацией для коридора 0.95 &lt;= PI &lt;= 1.05 (R02-E0006)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Перевод контрактов на Net-Net с разделением закупки и CatMan, разрыв с Reckitt Benckiser (X02-E0004, R04-E0001)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Красное &amp; Белое (R03): Прямая модель жесткого EDLP с чистой наценкой 1.5–2.0% без маркетинговых бонусов (R03-E0003)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Светофор (R05): Лоукост EDLP с потолком наценки &lt;=15% и спотовыми закупками по чистой цене (R05-E0001, R05-E0010)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Group (R01): Встраивание ценовых ИИ-моделей в коммерческие процессы (R01-E0005)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Ежедневный парсинг цен конкурентов (web/app/POS) в радиусе 1–3 км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Автоматические регуляторные стоп-листы для социально значимых товаров (KVI)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Матрицы кросс-эластичности спроса, обученные на 18–24 месяцах чековых транзакций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Сквозной учет чистой себестоимости COGS в ERP без скрытых ретро-бонусов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Регуляторный контроль ФАС (наценки до 4.7%) и риск квалификации роботов-парсеров как алгоритмического сговора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Сопротивление и делистинг крупных CPG-брендов при отказе от ретро-бонусов (спор Ленты с Reckitt)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Ограничение частоты переоценки недельным циклом в офлайн-залах без электронных ценников (ESL)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+1.5..+2.2% прироста абсолютного валового дохода (Gross Profit Lift) по неэластичным позициям корзины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доли глубокого промо на 6–10 п.п. (с 56–60% до 50% объема продаж категории)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До +6% маржи и +4% товарооборота на 229 объектах сети Ашан (SmartPricing, R07-E0017)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Удержание Price Index 0.95 &lt;= PI &lt;= 1.05 по KVI в алгоритмах Магнита (R02-E0006)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Юридический комплаенс против алгоритмического сговора по ст. 11 Закона о защите конкуренции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TCO электронных ценников (ESL) против затрат ручной смены бумажных ценников при дефиците кадров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Паспорт паттерна: V2-PAT-06 — Pragmatic Macro-Clustering &amp; Assortment Rationalization via Full Logistics Cost-to-Serve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**Суть и механизм:** Прагматичная макро-кластеризация (выделение 3–5 устойчивых операционных кластеров на формат вместо сотен микро-кластеров) в сочетании с поартикульным расчетом полной логистической себестоимости обслуживания (Activity-Based Cost-to-Serve) для выявления скрыто убыточного неликвидного «хвоста», введением жестких квот полочного пространства (1–2 SKU на потребность) и регламентом «один вошел — один вышел».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**Статус реализации:** `observed_production` (Зрелость спроса: **Stage 4**)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**Подтвержденные внедрения:**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X5 ОКОЛО (R01): директивное ограничение матрицы ровно 2 SKU на потребность, 0% СТМ, 3-кратное снижение удельных издержек (R01-E0006)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Красное &amp; Белое (R03): фиксация матрицы на уровне 1500 SKU при 21,4 тыс. магазинов, личная виза основателя, рекордная плотность продаж (R03-E0005)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Светофор (R05): жесткое квотирование 800–900 SKU на магазин 800–1000 кв.м при 100% паллетной выкладке (R05-E0002, R05-E0004)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Магнит (R02): тестирование TF-IDF/KMeans кластеризации с практической сверткой до 3–4 макро-кластеров на формат ради сохранения логистики РЦ (R02-E0007)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Лента (R04): рационализация гипермаркетов, запуск модульного компактного дискаунт-гипермаркета «Семья» на 500 локальных SKU (R04-E0011, R04-E0014)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Ашан (R07): модульная стандартизация супермаркетов на 4 формата T0–T4 с жесткой привязкой матрицы к метражу полок (R07-E0002)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**Операционные предпосылки:**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Activity-Based Costing (ABC) учет складской обработки (приемка, штучный отбор на РЦ, транспортировка)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Синхронизация минимальных квантов отгрузки (MOQ) и SRP со вместимостью полок кластера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Цифровые паспорта торговых залов с точным метражом полок в разрезе кластеров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Регламент ассортиментного комитета: правило «один вошел — один вышел» и запрет ручных матричных правок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**Контрпримеры, сбои и барьеры:**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Сопротивление категорийных байеров из-за риска потери листинговых выплат и ретро-бонусов поставщиков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Логистический коллапс и рост OOS на 4–7% при попытках гранулярной микро-кластеризации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Риск оттока лояльных покупателей редких нишевых брендов на маркетплейсы при механическом делистинге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**Доказанная экономика (Sourced Economics):**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Снижение суммарных затрат на складскую обработку и логистику категории (Cost-to-Serve) на -8.5%..-14.0%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Прирост плотности продаж на 1 кв.м полочного пространства на +4.0%..+5.5%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Сокращение балластного неликвидного ассортимента (Tail SKU) на 22–25% (вывод 350–450 позиций)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Ускорение оборачиваемости запасов в зале на 3.5–4.2 дня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Увеличение чистой маржинальности категорий (Category Net Margin) на +1.0..+1.8 п.п.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**Допущения и исследовательские вопросы (Assumptions &amp; TBDs):**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Assumption: Сохранение лояльности покупателей нишевого хвоста через витрины E-Grocery / Click &amp; Collect («бесконечная полка»)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TBD: Точность аллокации постоянных накладных расходов РЦ в корпоративных ERP на единичный штрихкод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