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{"pattern_id": "V2-PAT-01", "pattern_name": "Dynamic Clearance, Expiration Control &amp; DataMatrix POS Integration Platform", "core_mechanism": "Алгоритмическое предиктивное управление уценкой скоропорта (Fresh, Ultra-Fresh, Ready-to-Eat / кулинария) на кассовом узле (POS) и в мобильных приложениях на основе интеграции с государственной системой цифровой маркировки «Честный ЗНАК» (2D DataMatrix) и внутрисетевыми партионными стоп-листами (блокировка за 5-15 минут, динамический расчет ступенчатой скидки от -20% до -50% под спрос и остаточный срок, CVM-дистрибуция «Зеленые ценники»).", "observed_retailer_adoptions": ["ВкусВилл (R06): система «Зеленые ценники» (-40%), кассовые стоп-листы за 5-15 минут (R06-E0003), мобильный AI-бот CV для свежести ФРОВ со снижением потерь на 14.3% (R06-E0010)", "Ашан (R07): внедрение ПО #БЕЗостатка на 229 гипермаркетах/супермаркетах со снижением продуктовых потерь на 15.8 тыс. тонн/год и экономией &gt;80 млн руб./год (R07-E0010)", "X5 Group (R01): интеграция кассового ПО с ГИС «Честный Знак» (R01-E0010), авто-уценка хлеба и молока в X5 Dialog (-25% списаний), 500 кафе Select (R01-E0001, R01-E0011)", "Лента (R04): весовой CV «СуперМаг Vision» в 62 гипермаркетах (-0.71% списаний скоропорта) (R04-E0009), фабрика-кухня (R04-E0005) и марка кулинарии «Киты еды» (105 SKU) в Монетке (R04-E0008)"], "proposed_vs_observed_status": "observed_production", "operational_prerequisites": ["100% оснащение касс и КСО 2D-сканерами DataMatrix GS1", "Партионный учет в ERP/WMS с точной фиксацией срока годности каждой партии", "Низколатентная шина репликации стоп-листов на кассы (&lt;= 5-15 минут)", "Утренние и дневные мобильные инспекции полок персоналом с ТСД"], "counterexamples_and_failures": ["Коллапс ручной перемаркировки стикерами при кадровом дефиците (hh-индекс 3.3)", "Каннибализация регулярного спроса (промо-хантинг) при дневных скидках", "Слепая зона открытой весовой кулинарии и салатов без индивидуального фабричного штрихкода"], "sourced_economics": ["Сокращение списаний скоропорта (waste/spoilage rate) на 15–28%", "Прирост валовой маржинальности категорий Fresh/RTE на +1.2..+1.8 п.п.", "Прямая экономия &gt;80 млн руб./год (кейс Ашан #БЕЗостатка)", "Снижение потерь ФРОВ в деньгах на -14.3% (кейс ВкусВилл CV-бот)"], "assumptions_and_tbds": ["TBD: Стандартизация цифровой уценки весовой кулинарии открытого прилавка", "Assumption: Стабильность государственных API системы «Честный Знак»"], "current_demand_maturity": 4}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{"pattern_id": "V2-PAT-02", "pattern_name": "Space-to-Shelf Automation: Schemograms, Floor Layout Standardization &amp; Mobile CV Audit", "core_mechanism": "Переход от детализированных поштучных микропланограмм к блочным схемограммам (брендовые и ценовые блоки с авто-расчетом фейсингов по дням запаса DOS), модульной типизации торговых залов (T0–T4), внедрению стандартов транспортной упаковки Shelf-Ready Packaging (SRP) и мобильному аудиту выкладки через Computer Vision / Image Recognition на ТСД.", "observed_retailer_adoptions": ["Лента (R04): переход гипермаркетов на блочные схемограммы (-48% трудозатрат персонала, R04-E0002), приложение «Лента Спутник», Instant Merch", "Ашан (R07): модульная типизация супермаркетов на 4 формата (T0–T4), ремоделинг гипермаркетов и сокращение non-food площадей (R07-E0002)", "X5 Group / Перекрёсток (R01): автоматическая генерация индивидуальных помагазинных планограмм под 3D-габариты стеллажей (R01-E0007), пилот CV Shelf Sense", "Магнит (R02): нейросетевое распознавание выкладки Image Recognition по 20 000+ SKU (R02-E0005)", "О’КЕЙ / ДА! (R10): стандарты Shelf-Ready Packaging (SRP) для дискаунтеров, нормирование выкладки в MD Audit (-13% затрат) (R10-E0006, R10-E0010)", "Светофор (R05): предельная форма упрощения со 100% паллетной выкладкой без полок и планограмм на 800–900 SKU (R05-E0002, R05-E0004)"], "proposed_vs_observed_status": "observed_production", "operational_prerequisites": ["Цифровые 3D CAD-паспорта полочного оборудования по каждому объекту сети", "Справочник мастер-данных ВГХ упаковок и кратности SRP коробок", "Алгоритмический расчет оборачиваемости (Days of Supply / DOS) для ширины блоков", "100% оснащение персонала мобильными ТСД со сканером и камерой"], "counterexamples_and_failures": ["Конфликты с CPG-поставщиками по контрактам Share of Shelf из-за произвольной блочной расстановки", "Маскировка дефицита (растягивание соседних фейсингов сотрудниками)", "Экономическая нецелесообразность стационарных полочных камер (CAPEX &gt;1.5 млрд руб.)"], "sourced_economics": ["Сокращение трудозатрат персонала на смену выкладки на 48% (кейс Лента, R04-E0002)", "Прирост доступности на полке (OSA) на +2.0..+2.2 п.п. и комплаенса выкладки до 88% (+30 п.п.)", "Снижение затрат на планирование ротации полок на 13% (кейс О'КЕЙ MD Audit)", "Ускорение аудита секции стеллажа с 15 минут до 30 секунд (кейс Магнит IR)"], "assumptions_and_tbds": ["TBD: Готовность региональных поставщиков соблюдать нормативы SRP без доплат", "TBD: Сроки гармонизации JBP-контрактов при переходе от точечных фейсингов к Share of Shelf"], "current_demand_maturity": 4}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{"pattern_id": "V2-PAT-03", "pattern_name": "Private Label (СТМ) Tiering Architecture, Formula Indexation &amp; Capacity Reservation Engine", "core_mechanism": "Трехуровневая архитектура портфеля СТМ (First Price, Core, Premium Selection) с разделением покупательских миссий; формульный расчет себестоимости (Formula-based Target Costing) с привязкой к биржевым индексам сырья и упаковки; долгосрочное резервирование мощностей контрактных производств (2-3-летние соглашения с Capacity Allocation); жесткий 6-месячный гейт-контроль делистинга неликвидов.", "observed_retailer_adoptions": ["X5 Group (R01): Доля СТМ в Чижике достигла 60%, в Пятёрочке 25.4%, выручка СТМ группы 584.8 млрд руб. (R01-E0004)", "Магнит (R02): Выручка СТМ превысила 1 трлн руб., 3 яруса (Моя Цена, Магнит, Premier), 20 собственных производств (R02-E0008)", "Ашан (R07): Доля СТМ 27% (Красная/Золотая птица), мясокомбинат обеспечивает 56% мясной полки (R07-E0003, R07-E0011)", "ВкусВилл (R06): Модель 97-100% СТМ (361 млрд руб. выручки), ускорение дизайна упаковок нейросетями в 4 раза (R06-E0001, R06-E0012)", "О'КЕЙ / ДА! (R10): Доля СТМ в ДА! достигла 50-55%, пирамида СТМ в О'КЕЙ на 4500 SKU (R10-E0004, R10-E0005)", "Metro (R08): Портфель 4500 SKU (20% выручки), доля СТМ в HoReCa (Metro Chef, Rioba) достигает 33% (V2R08-E0005)", "Лента (R04): Запуск СТМ кулинарии «Киты еды» (105 SKU) в Монетке (4000 магазинов) (R04-E0008)"], "proposed_vs_observed_status": "observed_production", "operational_prerequisites": ["Оцифрованная структура себестоимости (Bill of Materials) по категориям сырья", "Интеграция формульных котировок бирж (молоко, зерно, масло, сахар, полимеры) в ERP/SRM", "Лабораторный контур независимого контроля качества (QA Lab)", "Регламент обязательного 6-месячного цикла аудита и делистинга новинок СТМ"], "counterexamples_and_failures": ["Светофор (R05): Осознанный отказ от классического СТМ ради наценки &lt;15% на спотовых закупках (R05-E0001)", "Красное &amp; Белое (R03): Сокращение регистрации новых марок СТМ на 40% из-за дефицита качественных ко-пакеров (R03-E0006)", "Саботаж модели Open-Book независимыми пищевыми фабриками", "Скрытая фальсификация рецептур при жесткой заморозке контрактных цен"], "sourced_economics": ["Совокупный объем рынка СТМ Top-10 сетей РФ достиг 2,35 трлн руб. (+24% YoY, INFOLine) (X04-E0001)", "Маржинальный спред СТМ к брендам поставщиков: +2.5..+4.0 п.п. (до +4.0..+6.0 п.п. в среднем и премиум ярусах)", "Доля СТМ в дискаунтерах: 50–60% (Чижик, ДА!) и 97–100% во ВкусВилле", "Сокращение Time-to-Market дизайна упаковки СТМ во ВкусВилле в 4 раза со снижением затрат на 60% (R06-E0012)"], "assumptions_and_tbds": ["TBD: Доля ко-пакеров, готовых подписывать долгосрочные формульные контракты без права выхода (оценочно 30–45%)", "TBD: Объемы утилизационных списаний брендированной упаковки при 6-месячном делистинге неликвидов"], "current_demand_maturity": 5}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{"pattern_id": "V2-PAT-04", "pattern_name": "In-House Distributed F&amp;R Platform &amp; Algorithmic Phantom OOS Elimination", "core_mechanism": "Двухконтурная архитектура сквозного товародвижения: 1) Распределенное ядро прогнозирования спроса и автопополнения (F&amp;R) на открытом стеке (Apache Ignite, Kafka, Spark, Trino, Flink) с ML-ансамблем (CatBoost/XGBoost, модели Кростона) с горизонтом до 90 дней (РЦ -&gt; магазин -&gt; полка); 2) Аналитический контур детекции «фантомных/виртуальных остатков» по транзакциям POS-чеков реального времени (CUSUM, zero-sales) с выдачей таргетированных задач на ТСД персонала магазина.", "observed_retailer_adoptions": ["Магнит Tech (R02): In-house F&amp;R Core на РЦ Киров (&gt;600 магазинов, R02-E0002) и платформа Magnit OSA на 19 000 магазинов (R02-E0004)", "X5 Tech (R01): Платформа автопополнения и прогнозирования на Spark/Kafka/ClickHouse и агенты ACE (R01-E0005)", "Дикси (R02): Внедрение ML-платформы автозаказа Rubbles Planning Force / Replenishment (R02-E0003)", "ДА! (R10): Внедрение IBP-системы цифрового прогнозирования спроса Novo Forecast Enterprise (R10-E0007)", "Лента (R04): Эксплуатация внутреннего ML-модуля Lenta Tech на XGBoost (15 млн рядов/день) (R04-E0004)"], "proposed_vs_observed_status": "observed_pilot", "operational_prerequisites": ["Стриминговая инфраструктура данных (Kafka, Debezium, Spark, in-memory кэш Apache Ignite)", "Поминутный поток чековых POS-транзакций без ночной пакетизации", "Мобильный интерфейс сотрудника зала на ТСД с функцией локальной инвентаризации", "Очищенный справочник мастер-данных логистических квантов и вместимости полок"], "counterexamples_and_failures": ["Многолетние сроки разработки (3–4 года R&amp;D силами команды 200+ инженеров)", "Ложные срабатывания детектора OOS (35–45% False Positive Rate) из-за пересортицы на кассах", "Заморозка миграции в сетях Tier-2 (О'КЕЙ, Metro), продолжающих эксплуатацию SAP/Dynamics AX"], "sourced_economics": ["Сокращение товарных запасов в днях на РЦ на -10% (Магнит, РЦ Киров, R02-E0002)", "Не менее 12 млн руб. ежедневно спасенных продаж от отработки сигналов OSA (Магнит OSA, R02-E0004)", "Десятки миллиардов рублей долгосрочного эффекта на EBITDA от снижения оверстока"], "assumptions_and_tbds": ["TBD: Сроки завершения тиражирования in-house F&amp;R на 33 000+ магазинов Магнита к 2027 г.", "TBD: TCO собственной разработки против коммерческих лицензий (Rubbles, Novo BI, GoodsForecast) на 5 лет"], "current_demand_maturity": 3}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{"pattern_id": "V2-PAT-05", "pattern_name": "Unified Net-Net Commercial Model &amp; Dynamic Algorithmic Pricing Engine (RGM)", "core_mechanism": "Ликвидация непрозрачной бэк-маржи и ретро-бонусов в пользу единой чистой цены в накладной (Net-Net), совмещенная с многотоварным алгоритмическим ценообразованием: разделение на социально значимые KVI (жесткие потолки наценок ФАС 4.7-5.0% и Price Index) и неэластичную бэк-корзину, где ML-оптимизаторы (SLSQP, кросс-эластичность) динамически максимизируют Gross Margin RUB.", "observed_retailer_adoptions": ["Ашан (R07): Развертывание платформы SmartPricing на 229 объектах (+6% маржи, +4% ТО) (R07-E0005, R07-E0017)", "Магнит Tech (R02): ML-оптимизатор регулярных цен на SLSQP с микрокластеризацией для коридора 0.95 &lt;= PI &lt;= 1.05 (R02-E0006)", "Лента (R04): Перевод контрактов на Net-Net с разделением закупки и CatMan, разрыв с Reckitt Benckiser (X02-E0004, R04-E0001)", "Красное &amp; Белое (R03): Прямая модель жесткого EDLP с чистой наценкой 1.5–2.0% без маркетинговых бонусов (R03-E0003)", "Светофор (R05): Лоукост EDLP с потолком наценки &lt;=15% и спотовыми закупками по чистой цене (R05-E0001, R05-E0010)", "X5 Group (R01): Встраивание ценовых ИИ-моделей в коммерческие процессы (R01-E0005)"], "proposed_vs_observed_status": "observed_pilot", "operational_prerequisites": ["Ежедневный парсинг цен конкурентов (web/app/POS) в радиусе 1–3 км", "Автоматические регуляторные стоп-листы для социально значимых товаров (KVI)", "Матрицы кросс-эластичности спроса, обученные на 18–24 месяцах чековых транзакций", "Сквозной учет чистой себестоимости COGS в ERP без скрытых ретро-бонусов"], "counterexamples_and_failures": ["Регуляторный контроль ФАС (наценки до 4.7%) и риск квалификации роботов-парсеров как алгоритмического сговора", "Сопротивление и делистинг крупных CPG-брендов при отказе от ретро-бонусов (спор Ленты с Reckitt)", "Ограничение частоты переоценки недельным циклом в офлайн-залах без электронных ценников (ESL)"], "sourced_economics": ["+1.5..+2.2% прироста абсолютного валового дохода (Gross Profit Lift) по неэластичным позициям корзины", "Снижение доли глубокого промо на 6–10 п.п. (с 56–60% до 50% объема продаж категории)", "До +6% маржи и +4% товарооборота на 229 объектах сети Ашан (SmartPricing, R07-E0017)", "Удержание Price Index 0.95 &lt;= PI &lt;= 1.05 по KVI в алгоритмах Магнита (R02-E0006)"], "assumptions_and_tbds": ["TBD: Юридический комплаенс против алгоритмического сговора по ст. 11 Закона о защите конкуренции", "TBD: TCO электронных ценников (ESL) против затрат ручной смены бумажных ценников при дефиците кадров"], "current_demand_maturity": 3}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{"pattern_id": "V2-PAT-06", "pattern_name": "Pragmatic Macro-Clustering &amp; Assortment Rationalization via Full Logistics Cost-to-Serve", "core_mechanism": "Прагматичная макро-кластеризация (выделение 3–5 устойчивых операционных кластеров на формат вместо сотен микро-кластеров) в сочетании с поартикульным расчетом полной логистической себестоимости обслуживания (Activity-Based Cost-to-Serve) для выявления скрыто убыточного неликвидного «хвоста», введением жестких квот полочного пространства (1–2 SKU на потребность) и регламентом «один вошел — один вышел».", "observed_retailer_adoptions": ["X5 ОКОЛО (R01): директивное ограничение матрицы ровно 2 SKU на потребность, 0% СТМ, 3-кратное снижение удельных издержек (R01-E0006)", "Красное &amp; Белое (R03): фиксация матрицы на уровне 1500 SKU при 21,4 тыс. магазинов, личная виза основателя, рекордная плотность продаж (R03-E0005)", "Светофор (R05): жесткое квотирование 800–900 SKU на магазин 800–1000 кв.м при 100% паллетной выкладке (R05-E0002, R05-E0004)", "Магнит (R02): тестирование TF-IDF/KMeans кластеризации с практической сверткой до 3–4 макро-кластеров на формат ради сохранения логистики РЦ (R02-E0007)", "Лента (R04): рационализация гипермаркетов, запуск модульного компактного дискаунт-гипермаркета «Семья» на 500 локальных SKU (R04-E0011, R04-E0014)", "Ашан (R07): модульная стандартизация супермаркетов на 4 формата T0–T4 с жесткой привязкой матрицы к метражу полок (R07-E0002)"], "proposed_vs_observed_status": "observed_production", "operational_prerequisites": ["Activity-Based Costing (ABC) учет складской обработки (приемка, штучный отбор на РЦ, транспортировка)", "Синхронизация минимальных квантов отгрузки (MOQ) и SRP со вместимостью полок кластера", "Цифровые паспорта торговых залов с точным метражом полок в разрезе кластеров", "Регламент ассортиментного комитета: правило «один вошел — один вышел» и запрет ручных матричных правок"], "counterexamples_and_failures": ["Сопротивление категорийных байеров из-за риска потери листинговых выплат и ретро-бонусов поставщиков", "Логистический коллапс и рост OOS на 4–7% при попытках гранулярной микро-кластеризации", "Риск оттока лояльных покупателей редких нишевых брендов на маркетплейсы при механическом делистинге"], "sourced_economics": ["Снижение суммарных затрат на складскую обработку и логистику категории (Cost-to-Serve) на -8.5%..-14.0%", "Прирост плотности продаж на 1 кв.м полочного пространства на +4.0%..+5.5%", "Сокращение балластного неликвидного ассортимента (Tail SKU) на 22–25% (вывод 350–450 позиций)", "Ускорение оборачиваемости запасов в зале на 3.5–4.2 дня", "Увеличение чистой маржинальности категорий (Category Net Margin) на +1.0..+1.8 п.п."], "assumptions_and_tbds": ["Assumption: Сохранение лояльности покупателей нишевого хвоста через витрины E-Grocery / Click &amp; Collect («бесконечная полка»)", "TBD: Точность аллокации постоянных накладных расходов РЦ в корпоративных ERP на единичный штрихкод"], "current_demand_maturity": 4}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