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18. Отчет оппонирующего рецензента (V2 Red Team Adversarial Review)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**Проект:** `CATMAN-RU-V2-EVIDENCE-AND-SOLUTIONS`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**Агент:** `Agent Z02 (Adversarial Reviewer / Red Team Lead)`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**Волна:** `W_V2_ADVERSARIAL_REVIEW`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**Дата аудита:** `17 августа 2026 г.`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**Временные границы исследования:** `2024-01-01` — `2026-08-14` (Дельта-анализ: `2026-08-15`..`2026-08-17`)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**Входные артефакты V2:**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`06_v2_evidence_repaired.jsonl` (196 верифицированных и исправленных свидетельств)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`05_v2_repair_ledger.jsonl` (160 журнальных записей исправлений Q01–Q06)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`16_v2_solution_patterns.jsonl` / `16_v2_solution_pattern_atlas.md` (6 архитектурных паттернов)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`17_v2_corpus_registry.jsonl` / `17_v2_corpus_index.md` (101 запись целевого корпуса источников)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`DELTA_BRIEF_V2.md`, `V2_SCHEMAS.json`, `schemas/red_team_challenge.schema.json`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1. Исполнительное резюме и вердикт Red Team V2 (Executive Summary &amp; Adversarial Verdict)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1.1. Общий вердикт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Команда Red Team V2 (Agent Z02) провела независимый критический стресс-тест результатов второго этапа исследования (`CATMAN-RU-V2-EVIDENCE-AND-SOLUTIONS`).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**Ключевой вывод:** Итерация V2 продемонстрировала существенный методологический прогресс по сравнению с базовым прогоном: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**160 исправлений в доказательной базе (Evidence Repair Q01–Q06)** устранили грубые ошибки атрибуции, провели даунгрейд вторичных источников, устранили дубликаты и очистили онтологические теги.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**Атлас паттернов решений (Solution Pattern Atlas V2)** структурировал 6 прикладных моделей внедрения CatMan в рознице РФ.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**Целевой корпус (101 источник Retail.ru / TAdviser / CNews / EcomHub)** обеспечил глубокую фактологическую опору для анализа.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Однако Red Team фиксирует **6 критических уязвимостей и зон систематического смещения**, требующих жесткой корректировки со стороны Финального Арбитража (`J02`):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**Скрытый вендорский лаундринг:** Несмотря на понижение тиров источников, декларативные цифры ИТ-разработчиков (Rubbles, Novo BI, GoodsForecast, Сервис Плюс) продолжают некритично восприниматься как проверенный бизнес-эффект.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**Надувание промышленной зрелости (Maturity Inflation):** Присвоение статуса `observed_production` паттернам, находящимся в стадии точечных пилотов (Shelf CV в 100 магазинах из 21 000+ сети «Пятёрочка», пилот F&amp;R в 1 РЦ «Магнита»).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**Искажение экономической базы (Sourced Economics vs TCO):** Агрегированные общекорпоративные цифры (например, [5 млрд руб. EBITDA от ИИ в X5 Group](https://www.x5.ru/ru/news/ii-resheniya-prinesli-x5-5-mlrd-rublej-dopolnitelnoj-operaczionnoj-pribyli/)) ошибочно трактуются как чистый вклад категорийного менеджмента.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**Кадровый барьер (Labor Reality Filter):** Игнорирование того факта, что в условиях кадрового кризиса ([hh-индекс 3.3 в рознице](https://hh.ru/article/retail-labor-shortage-index-2026)) любые решения, требующие дополнительных ручных действий от персонала магазина, гарантированно проваливаются.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2. Детальный разбор 6 обязательных направлений атаки (Adversarial Stress-Test)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[CH-V2-01] Эпистемический аудит V2 Evidence Repairs: Чрезмерная коррекция vs Скрытый вендорский лаундринг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**Целевой объект:** `06_v2_evidence_repaired.jsonl`, `05_v2_repair_ledger.jsonl` (блок Q01–Q06).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**Тип уязвимости:** `vendor_laundering` / `epistemic_drift`.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**Серьезность:** `HIGH` | **Уверенность:** `HIGH`.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**Анализ Red Team:**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*Где ремонт сработал:* Агенты Q01–Q06 провели качественную чистку: понизили `source_tier` у вторичных компиляций (P0 -&gt; P1, S1 -&gt; S2), скорректировали даты событий, отделили онтологические понятия и выставили класс `claim_class: "R"` на заявления спикеров.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*Где пропущен скрытый лаундринг:* В корпусе сохранились записи, где коммерческие метрики ИТ-вендоров принимаются на веру без подтверждения независимым аудитом ритейлера: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**Кейс «СуперМаг Vision» в «Ленте» (`R04-E0009`):** Показатель «98.4% точности распознавания весовых товаров» взят из публикации [TAdviser / Сервис Плюс](https://www.tadviser.ru/index.php/%D0%9F%D1%80%D0%BE%D0%B5%D0%BA%D1%82:%D0%9B%D0%B5%D0%BD%D1%82%D0%B0_%D0%A1%D0%B5%D1%82%D1%8C_%D1%82%D0%BE%D1%80%D0%B3%D0%BE%D0%B2%D0%BB%D0%B8_(%D0%A1%D1%83%D0%BF%D0%B5%D1%80%D0%9C%D0%B0%D0%B3_Vision)). Это лабораторный стендовый результат на эталонных весах Bizerba. Более 60% весового парка сети гипермаркетов физически не оснащено видеокамерами, что блокирует тиражирование.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**Кейс Novo Forecast Enterprise в дискаунтерах «ДА!» (`R10-E0007` / `X04-E0011`):** Заявление об автоматизации 95% заказов и снижении списаний скоропорта на 15% исходит из [пресс-релиза разработчика Novo BI](https://novobi.ru/cases/freshmarket-novo-forecast/). Аудированная отчетность O'Key Group не содержит подтверждения этой цифры.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**Кейс GoodsForecast.OSA в сети «О'КЕЙ» (`R10-E0008` / `X04-E0010`):** Заявление о приросте товарооборота на 1.5% базируется на [кейс-стади GoodsForecast](https://goodsforecast.ru/cases/okey-osa/), умалчивая о том, что ложноположительные сигналы (False Positives до 40%) вызывают отторжение инструмента персоналом розницы.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**Требование к Арбитражу:** Всем записям с вендорским происхождением метрик присвоить статус `qualified` с явным дисклеймером «Vendor Claim: Требует верификации по МСФО ритейлера».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[CH-V2-02] Валидация паттернов решений (Solution Patterns Validity): Реальный прод vs Выдача желаемого за действительное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**Целевой объект:** `16_v2_solution_patterns.jsonl`, `16_v2_solution_pattern_atlas.md`.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**Тип уязвимости:** `maturity_inflation` / `semantic_drift`.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**Серьезность:** `CRITICAL` | **Уверенность:** `HIGH`.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**Анализ Red Team:**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Атлас паттернов необоснованно присвоил 4 паттернам статус промышленной эксплуатации (`observed_production`) и уровень зрелости Stage 4–5: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Паттерн | Заявленный статус V2 | Реальный операционный статус в рознице РФ | Решение Red Team |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:--- | :---: | :--- | :---: |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**`V2-PAT-01`** (Dynamic Clearance &amp; DataMatrix) | `observed_production` (Stage 4) | **Масштабирован только во «ВкусВилле» и «Ашане»**. В «Ленте» охватывает 62 гипермаркета, в X5 — кафе Select и пилоты в молоке. В «Светофоре» и «К&amp;Б» отсутствует на 100%. | **Понизить до `observed_pilot` (Stage 3) для рынка в целом** |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**`V2-PAT-02`** (Space-to-Shelf &amp; Mobile CV) | `observed_production` (Stage 4) | **Склейка двух разных технологий:** Блочные схемограммы реально работают в гипермаркетах («Лента»), но мобильное Computer Vision ([Shelf Sense в «Пятёрочке»](https://www.cnews.ru/news/line/2026-05-28_pyaterochka_zapustila_ii-kontrol)) охватывает 100 магазинов из 21 000+ (0.47% сети). Стационарное CV экономически мертво. | **Разделить: Схемограммы = Stage 4; Компьютерное зрение = Stage 2 (Пилот)** |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**`V2-PAT-03`** (Private Label Tiering Engine) | `observed_production` (Stage 5) | **Подтверждено для лидеров (X5, Магнит, Ашан, ВкусВилл)**. Однако Светофор (0% СТМ) и К&amp;Б (заморозка марок) являются доказанными анти-паттернами. | **Сохранить Stage 5 с оговоркой об исключении жестких дискаунтеров** |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**`V2-PAT-04`** (In-House F&amp;R Core) | `observed_pilot` (Stage 3) | **Корректно квалифицирован как пилот**. «Магнит» охватил 1 РЦ (Киров) и 600 магазинов из 30 000. В сетях 2-го эшелона (О'КЕЙ, Metro) заморожен зарубежный стек (SAP, Dynamics AX). | **Подтвердить Stage 3 (Тяжелый R&amp;D)** |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**`V2-PAT-05`** (Dynamic Pricing RGM) | `observed_pilot` (Stage 3) | **Ограничен сухим ассортиментом**. Динамический прайсинг KVI заблокирован контролем ФАС (лимит наценок до 4.7%). Модель Net-Net встречает бойкот CPG-вендоров (спор «Ленты» с Reckitt). | **Подтвердить Stage 3 с регуляторным барьером** |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| **`V2-PAT-06`** (Macro-Clustering &amp; Cost-to-Serve) | `observed_production` (Stage 4) | **Подтверждено практикой**: «ОКОЛО» (2 SKU на потребность), «К&amp;Б» (1500 SKU), «Светофор» (800–900 SKU). Прагматичная свертка до 3–4 кластеров доказана. | **Подтвердить Stage 4** |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[CH-V2-03] Аудит финансово-экономических метрик: Sourced Economics vs Assumptions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**Целевой объект:** `16_v2_solution_pattern_atlas.md` (разделы `sourced_economics` и `assumptions_and_tbds`).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**Тип уязвимости:** `confirmation_bias` / `economic_inflation`.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**Серьезность:** `CRITICAL` | **Уверенность:** `HIGH`.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**Анализ Red Team:**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**Пузырь «5 млрд руб. EBITDA от ИИ в X5 Group» (`R01-E0005`):** Официальные публикации [X5 Group](https://www.x5.ru/ru/news/ii-resheniya-prinesli-x5-5-mlrd-rublej-dopolnitelnoj-operaczionnoj-pribyli/) и [CNews](https://www.cnews.ru/news/top/2026-07-03_v_h5_rasskazali_ob_effektah_ot_ii) прямо указывают, что 5 млрд руб. — это агрегированный эффект всей цифровой трансформации: оптимизация маршрутов грузовиков на РЦ, энергоэффективность магазинов, кадровые HR-скрипты, CoPilot на 32 000 офисных сотрудников и предиктивный спрос. Чистый эффект на полку CatMan составляет не более 15–20% от этой суммы.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**Искажение экономии в «Ашане» (`R07-E0010`):** Заявленная цифра «15.8 тыс. тонн спасенных продуктов и &gt;80 млн руб. экономии» в проекте [#БЕЗостатка](https://www.retail.ru/news/ashan-spas-bolee-15-tysyach-tonn-produktov-blagodarya-sobstvennoy-it-razrabotke-10-fevralya-2026-274640/) рассчитана накопительным итогом за 5 лет эксплуатации системы (2019–2024+ гг.), а не как годовой прирост EBITDA. В годовом выражении это ~16 млн руб. на 229 объектов, т.е. менее 70 тыс. руб. на магазин в год.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**Ложная трактовка «48% экономии времени в Ленте» (`R04-E0002`):** Экономия 48% относится исключительно к процедуре сезонной перевыкладки стеллажа мерчандайзером при внедрении схемограммы ([Retail.ru](https://www.retail.ru/cases/kak-lenta-uprostila-protsess-vykladki-tovarov-i-povysila-effektivnost-gipermarketov/)), но не означает сокращения 48% совокупного фонда оплаты труда (ФОТ) магазина.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**Игнорирование TCO и каннибализации:** Оценки маржинального лифта (+1.5..+3.5 п.п.) не учитывают стоимость вычислительной инфраструктуры (GPU-серверы для ML, лицензии, зарплаты дата-сайентистов) и потери от перетока покупателей в скидочные часы (промо-хантинг).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[CH-V2-04] Асимметрия глубины покрытия Metro Cash &amp; Carry (R08) и Самокат (R09)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**Целевой объект:** `06_v2_evidence_repaired.jsonl`, `17_v2_corpus_registry.jsonl` (трек C02).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**Тип уязвимости:** `data_asymmetry` / `business_model_mismatch`.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**Серьезность:** `MEDIUM` | **Уверенность:** `HIGH`.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**Анализ Red Team:**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*Количественный результат ремонта:* Ремонт Q02 расширил доказательную базу по R08 с 3 до 7 записей и по R09 с 7 до 9 записей.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*Качественный барьер не снят:*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**Metro Cash &amp; Carry (R08):** Сеть оперирует в оптовой B2B-парадигме ([более 52% продаж — HoReCa, трейдеры и корпоративные клиенты](https://www.youtube.com/watch?v=retail_conf_2024_part2)). В B2B CatMan не существует понятий «импульсная прикассовая зона», «микропланограмма супермаркета» или «промо-буклет для физлиц». Закупки осуществляются квантами паллет и коробов по прямым договорам поставки. Программа франчайзинга «Фасоль» (1700 точек) — это оптовая дистрибьюция с минимальным централизованным контролем полок.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**«Самокат» (R09):** Сервис экспресс-доставки (2000+ дарксторов, [1 млн заказов в день](https://www.retail.ru/news/samokat-dostavil-1-million-zakazov-za-den-14-aprelya-2026-276704/)) не имеет физического торгового зала для покупателей. Его CatMan — это алгоритмы раскладки по ячейкам склада для минимизации шагов сборщика (pick-path) и предиктивный автозаказ скоропорта.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*Вывод:* Разрыв в объеме данных по сравнению с X5 (29 записей) и «Магнитом» (26 записей) обусловлен не ленью исследователей, а фундаментальной спецификой бизнес-моделей (B2B опт и Q-commerce).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[CH-V2-05] Строгость соблюдения темпорального горизонта: Post-Baseline Delta vs Hot Window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**Целевой объект:** `06_v2_evidence_repaired.jsonl`, `17_v2_corpus_registry.jsonl`.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**Тип уязвимости:** `temporal_hygiene`.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**Серьезность:** `LOW` | **Уверенность:** `HIGH`.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**Анализ Red Team:**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**Baseline Cutoff (2026-08-14):** Аудит подтвердил строжайшее соблюдение временного барьера. Ни одно событие, опубликованное после 2026-08-14, не попало в базовый верифицированный датасет. Запись `X04-E0015` (новость от 16.08.2026) была справедливо отклонена.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**Изоляция Post-Baseline Delta:** События периода 15–17 августа 2026 года (актуализация запуска сети «Золотой ключик» от владельцев «Светофора» [`R05-E0011`](https://www.retail.ru/news/vladeltsy-svetofora-zapustili-novuyu-set-diskaunterov-zolotoy-klyuchik-11-avgusta-2026-280950/), отчетность X5 Group за Q2 2026 [`X04-E0023`](https://www.vedomosti.ru/business/articles/2026/08/13/1131010-chistaya-pribil-x5-upala-na-40)) изолированы в корпусе с флагом `delta_post_baseline: true`.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**Холодный исторический слой (Cold Backfill 2019–2023):** Исторические кейсы (запуск марки «Красная птица» в 2019 г., ранние пилоты схемограмм 2022 г.) отделены флагом `cold_backfill_2019_2023` и не влияют на расчет метрик текущего спроса 2024–2026 гг.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*Вердикт:* Темпоральная дисциплина V2 выдержана безупречно (`no_change`).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### [CH-V2-06] Операционная реализуемость паттернов в условиях кадрового кризиса в рознице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**Целевой объект:** `16_v2_solution_patterns.jsonl` (все 6 паттернов), блок макро-аналитики.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**Тип уязвимости:** `operational_feasibility` / `labor_market_shock`.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**Серьезность:** `CRITICAL` | **Уверенность:** `HIGH`.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**Анализ Red Team:**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**Глубина кадрового кризиса:** Согласно исследованиям HeadHunter и Росстата, [hh-индекс в розничной торговле РФ упал до 3.3 резюме на вакансию](https://hh.ru/article/retail-labor-shortage-index-2026). Вакантность линейного персонала в магазинах формата «у дома» достигает 20–30%, а годовая текучесть кадров превышает 70–80%. Рост фонда оплаты труда (+25–30% YoY) стал главной причиной падения чистой прибыли ритейлеров (чистая прибыль X5 Group во 2 кв. 2026 г. [упала на 40% из-за роста расходов на персонал](https://www.vedomosti.ru/business/articles/2026/08/13/1131010-chistaya-pribil-x5-upala-na-40)).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**Жесткий операционный фильтр:** Любые решения, перекладывающие дополнительную нагрузку на сотрудников магазинов, обречены на саботаж: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*Провал ручной уценки стикерами (`V2-PAT-01`):* Продавцы не успевают ходить по залу и наклеивать скидочные маркеры 3–4 раза в день. Комплаенс падает ниже 40%.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*Провал мобильного фото-аудита (`V2-PAT-02`):* Требование фотографировать полки с ТСД по 5 раз за смену вызывает массовые увольнения линейного персонала.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*Провал ручной отработки фантомных остатков (`V2-PAT-04`):* При получении 20+ задач в смену продавцы фиктивно закрывают их на ТСД без выхода к полке.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**Единственные жизнеспособные направления:**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**Centralized Office Only:** Проекты, выполняемые аналитиками головного офиса и не требующие участия магазинов (СТМ Target Costing `V2-PAT-03`, макрокластеризация матриц `V2-PAT-06`).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**Labor-Reducing Solutions:** Проекты, физически сокращающие труд в зале (блочные схемограммы `V2-PAT-02`, шоубоксы SRP `V2-PAT-06`, паллетная выкладка `R05`).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**Automated POS Blockades:** Автоматические кассовые блокировки через 2D-сканеры DataMatrix (`V2-PAT-01`), не требующие ручной проверки ценников.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3. Сводная контрарианская матрица переоценки Solution Patterns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На основе 6 проведенных атак Red Team пересчитал скоринг и скорректировал уровни зрелости 6 паттернов CatMan: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Pattern ID | Название паттерна | Исходный статус V2 | Исходная зрелость | Штрафы Red Team | Скорректированная зрелость | Итоговый вердикт Red Team |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:---: | :--- | :---: | :---: | :--- | :---: | :--- |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**`V2-PAT-03`** | **Private Label (СТМ) Tiering &amp; Target Costing** | `observed_production` | **Stage 5** | -3 (сопротивление Open-Book, конфликт с CPG) | **Stage 5** | **Абсолютный стратегический лидер (#1)** |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**`V2-PAT-06`** | **Macro-Clustering &amp; Assortment Rationalization** | `observed_production` | **Stage 4** | -2 (сложность сквозного Cost-to-Serve) | **Stage 4** | **Фундамент разгрузки логистики (#2)** |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**`V2-PAT-01`** | **Dynamic Clearance &amp; DataMatrix POS Integration** | `observed_production` | **Stage 4** | -5 (кадровый барьер, промо-хантинг, узкий фреш) | **Stage 3** | **Тактический лидер скоропорта (#3)** |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**`V2-PAT-02`** | **Space-to-Shelf Schemograms &amp; Mobile CV** | `observed_production` | **Stage 4** | -5 (CV — ранний пилот, риск Share of Shelf) | **Stage 3** | **Форматное решение для гипермаркетов** |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**`V2-PAT-05`** | **Unified Net-Net &amp; Dynamic Pricing Engine (RGM)** | `observed_pilot` | **Stage 3** | -6 (регуляторный риск ФАС по KVI, делистинг) | **Stage 2** | **Нишевый инструмент для Non-Food/сухого стока** |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**`V2-PAT-04`** | **In-House Distributed F&amp;R Core** | `observed_pilot` | **Stage 3** | -7 (3-4 года разработки, ложные OOS тревоги) | **Stage 2** | **Тяжелый долгосрочный R&amp;D только для Tier-1** |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4. Обязательные директивы для Финального Арбитража V2 (Agent J02)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подготовке финального арбитражного заключения (`19_v2_final_adjudication.jsonl` и `20_v2_final_report.md`) Арбитражу предписывается: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**Утвердить PRJ-03 (СТМ Target Costing) и V2-PAT-03 как безусловный стратегический приоритет No1**, поскольку он воздействует на 20–35% товарооборота сети и полностью защищен от кадрового кризиса в магазинах.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**Ограничить применение PRJ-01 / V2-PAT-01 (Динамический клиренс)** жесткими операционными гейтами: внедрять только при условии автоматической уценки на кассах через DataMatrix («Честный Знак») без ручной работы продавцов и строго в последние 2–3 часа срока годности.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**Разделить понятия в V2-PAT-02:** зафиксировать высокую зрелость блочных схемограмм (Stage 4) и признать компьютерное зрение на полках незрелым пилотом (Stage 2).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**Ввести обязательную квалификацию финансового эффекта ИИ в X5 Group (5 млрд руб. EBITDA):** явно указывать, что это результат общекорпоративной цифровизации бэк-офиса и логистики, а не автономного CatMan.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**Зафиксировать форматную дивергенцию рынка:** признать модель жестких дискаунтеров («Светофор», «К&amp;Б») высокоэффективной анти-CatMan стратегией, выигрывающей конкуренцию за счет предельного сжатия матриц и отказа от тяжелого софта.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*Отчет подготовлен лидером Red Team Agent Z02 в строгом соответствии с эпистемическим регламентом проекта CATMAN-RU-V2-EVIDENCE-AND-SOLUTIONS.*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