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{"ruling_id": "RUL-V2-01", "challenge_id": "CH-V2-01", "target_type": "dataset", "target_id": "06_v2_evidence_repaired.jsonl", "verdict": "upheld", "severity_final": "high", "action_taken": "Все показатели стендовых и пилотных испытаний IT-вендоров (СуперМаг Vision в Ленте R04-E0009, Novo Forecast в ДА! R10-E0007, Rubbles в Дикси R02-E0003, GoodsForecast.OSA в О'КЕЙ R10-E0008) реклассифицированы в категорию Class A / Vendor Case Study (VCS) с обязательным указанием операционных допущений и ограничений (доля совместимого весового парка, 35-45% False Positive Rate в OSA). Запрещено использовать вендорские кейсы как доказанные аудированные финансовые результаты ритейлеров.", "adjusted_score_delta": -3.0, "justification": "Независимый арбитраж подтверждает, что маркетинговые материалы и кейс-стади разработчиков программного обеспечения не могут приравниваться к официальной отчетности ритейлеров. Применение понижающих эпистемических фильтров (Class A, VCS) исключает вендорский лаундринг и защищает итоговые выводы исследования от необоснованного завышения технологической эффективности.", "allowed_final_wording": "Показатели вендорских платформ (SuperMag Vision, Novo Forecast, Rubbles, GoodsForecast) отражают стендовую и пилотную эффективность в изолированных контурах и подлежат строгому дисконтированию с учетом реальных инфраструктурных ограничений и доли ложных тревог в розничной сети.", "supporting_evidence_ids": ["R04-E0009", "R10-E0007", "R10-E0008", "R02-E0003", "X02-E0002", "X04-E0010", "X04-E0011"]}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{"ruling_id": "RUL-V2-02", "challenge_id": "CH-V2-02", "target_type": "method", "target_id": "16_v2_solution_patterns.jsonl", "verdict": "partially_upheld", "severity_final": "high", "action_taken": "Проведена дифференциация технологической зрелости по форматам и технологическим компонентам: 1) Паттерн V2-PAT-01 (Dynamic Clearance) квалифицирован как зрелый (Stage 4) исключительно для форматов с высокой долей скоропорта и кулинарии (ВкусВилл, Ашан, Перекрёсток, Гипер Лента), но нерелевантный для жестких дискаунтеров (Светофор, К&amp;Б); 2) В паттерне V2-PAT-02 (Space-to-Shelf) разделены компоненты: блочные схемограммы утверждены как зрелое решение Stage 4 (Лента, Ашан, О'КЕЙ), а стационарное и мобильное компьютерное зрение на полках реклассифицировано как экспериментальный пилот Stage 2 (пилот Shelf Sense в 100 магазинах Пятёрочки); 3) Паттерн V2-PAT-05 (Dynamic Pricing) ограничен нерегулируемыми категориями с явным запретом на динамическую наценку по социально значимым KVI.", "adjusted_score_delta": -4.0, "justification": "Арбитраж частично удовлетворяет протест Red Team: объединение зрелых организационных инструментов (схемограммы) с незрелыми аппаратными решениями (полковый CV) создавало иллюзию повсеместной промышленной готовности ИИ. Декомпозиция паттернов восстанавливает реалистичный технологический профиль.", "allowed_final_wording": "В управлении полочным пространством и клиренсом скоропорта статус промышленной эксплуатации (Stage 4) достигнут организационными методами (схемограммы, кассовые стоп-листы DataMatrix в сетях с развитым фрешем), тогда как Computer Vision на полках и сквозное динамическое ценообразование остаются в фазе пилотирования (Stage 2-3).", "supporting_evidence_ids": ["R01-E0003", "R04-E0002", "R04-E0009", "R05-E0002", "R06-E0003", "R07-E0010", "X04-E0003"]}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{"ruling_id": "RUL-V2-03", "challenge_id": "CH-V2-03", "target_type": "project", "target_id": "16_v2_solution_pattern_atlas.md", "verdict": "upheld", "severity_final": "critical", "action_taken": "Все макроэкономические и агрегированные финансовые метрики в Атласе паттернов и финальном отчете снабжены обязательными квалификационными сносками (Scope &amp; Horizon Qualifications): 1) Показатель '5 млрд руб. EBITDA от ИИ в X5 Group' строго квалифицирован как суммарный эффект цифровизации всей IT-дирекции (включая логистику РЦ, бэк-офис и 32 тыс. лицензий CoPilot/ACE), а не изолированный полочный CatMan; 2) Эффект '15.8 тыс. тонн / &gt;80 млн руб. в Ашане' зафиксирован как накопительный 5-летний итог (2019-2024); 3) Экономия '48% времени в Ленте' ограничена процедурой сезонного перепланирования выкладки; 4) В финансовые модели внедрены обязательные поправки на каннибализацию (-2.0..-3.5 п.п. маржи от промо-хантинга) и TCO IT-инфраструктуры.", "adjusted_score_delta": -5.0, "justification": "Прямое цитирование агрегированных корпоративных цифр без квалификации периметра создает ложное впечатление сверхвысокой окупаемости точечных CatMan-алгоритмов. Арбитраж обязывает раскрывать методологию происхождения каждой цифры и учитывать чистый эффект за вычетом каннибализации.", "allowed_final_wording": "Финансовые эффекты CatMan-решений должны оцениваться по чистому приросту маржинального дохода (Net Margin Lift) за вычетом каннибализации регулярных продаж и совокупной стоимости владения (TCO), с четким обособлением от общекорпоративных эффектов цифровизации бэк-офиса и логистики.", "supporting_evidence_ids": ["R01-E0005", "R04-E0002", "R07-E0010", "X04-E0007", "X04-E0023"]}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{"ruling_id": "RUL-V2-04", "challenge_id": "CH-V2-04", "target_type": "dataset", "target_id": "06_v2_evidence_repaired.jsonl", "verdict": "partially_upheld", "severity_final": "medium", "action_taken": "В аналитическом отчете зафиксирована фундаментальная специфика бизнес-моделей сетей Metro Cash &amp; Carry (R08) и «Самокат» (R09): 1) Metro квалифицирован как специализированный B2B/HoReCa оптовый оператор (&gt;52% выручки) с франшизой «Фасоль» (1700 точек), где CatMan сфокусирован на B2B-контрактах, HoReCa-фасовках и прямой дистрибуции, а не на полочном импульсном мерчандайзинге; 2) «Самокат» квалифицирован как оператор ультрабыстрой e-grocery доставки на базе 2000+ дарксторов (1 млн заказов/день), где CatMan тождествен топологии складских ячеек (WMS pick-path) и алгоритмам динамического пополнения микро-хабов. Разница в количестве записей (7-9 против 26-29) признана объективным отражением форматно-отраслевых границ.", "adjusted_score_delta": -2.0, "justification": "Различие в объеме публичных свидетельств отражает структурные различия в бизнес-моделях (B2B-опт и Darkstore E-commerce против классического сетевого ритейла), а не дефект поискового охвата. Арбитраж утверждает форматную сегментацию требований к CatMan.", "allowed_final_wording": "Категорийный менеджмент в B2B-опте (Metro) и даркстор-логистике (Самокат) подчиняется специализированным законам (HoReCa-кванты, оптимизация маршрутов сборки WMS), принципиально отличным от управления полкой физического супермаркета.", "supporting_evidence_ids": ["R08-S0001", "R08-S0002", "R09-S0001", "R09-S0004", "X03-E0007", "X03-E0008"]}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{"ruling_id": "RUL-V2-05", "challenge_id": "CH-V2-05", "target_type": "method", "target_id": "17_v2_corpus_registry.jsonl", "verdict": "overruled", "severity_final": "low", "action_taken": "Подтверждена и утверждена абсолютная строгость соблюдения темпоральных границ во всех артефактах V2: 1) Базовый датасет (06_v2_evidence_repaired.jsonl, 189 записей) строго ограничен baseline cutoff 2026-08-14T23:59:59+05:00; 2) Пост-базовые события 2026-08-15..2026-08-17 изолированы с флагом delta_post_baseline: true (7 записей); 3) Исторический бэкфилл 2019-2023 гг. изолирован в холодном слое (cold_backfill) корпуса без влияния на расчет Current Demand Score 2024-2026. Протест отклонен ввиду полного отсутствия нарушений темпоральной гигиены.", "adjusted_score_delta": 0.0, "justification": "Аудит подтвердил стопроцентное соблюдение темпоральных правил: ни одно историческое или пост-базовое свидетельство не исказило расчет метрик спроса 2024-2026 гг. Требования V2-манифеста выполнены безупречно.", "allowed_final_wording": "Темпоральная структура исследования строго верифицирована: базовый горизонт 2024-2026 зафиксирован на 14.08.2026, дельта-слой изолирован, а исторический бэкфилл выполняет исключительно справочную контекстную функцию.", "supporting_evidence_ids": ["R05-E0011", "X04-E0015", "X04-E0023"]}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{"ruling_id": "RUL-V2-06", "challenge_id": "CH-V2-06", "target_type": "project", "target_id": "16_v2_solution_pattern_atlas.md", "verdict": "upheld", "severity_final": "critical", "action_taken": "Индустриальный фактор кадрового дефицита (hh-индекс 3.3 резюме/вакансию, текучесть линейного персонала &gt;70% в год, падение чистой прибыли X5 на -40% в Q2 2026 из-за роста ФОТ) утвержден в качестве Главного Системного Фильтра Реализуемости (Primary Operational Gatekeeper) для всех проектов категорийного менеджмента. Все проектные инициативы разделены на 3 жизнеспособных кластера: 1) Решения, снижающие трудоемкость в зале (схемограммы, SRP-упаковка, паллетная выкладка V2-PAT-02, V2-PAT-06); 2) Полностью автоматизированные без участия персонала решения (кассовая уценка DataMatrix V2-PAT-01, КСО); 3) Централизованные решения коммерческого офиса (СТМ Target Costing V2-PAT-03). Проекты с высокой зависимостью от ручного труда в зале объявлены нереализуемыми.", "adjusted_score_delta": -5.0, "justification": "Острый дефицит персонала магазинов делает невозможным выполнение сложных регламентов выкладки и частой ручной переоценки. Любые CatMan-проекты, игнорирующие фактор нехватки кадров (hh-индекс 3.3), обречены на операционный провал в торговых точках.", "allowed_final_wording": "Кадровый голод в ритейле (hh-индекс 3.3) является ключевым системным барьером: в 2024-2026 гг. жизнеспособны только те решения, которые либо упрощают физический труд персонала (схемограммы), либо автоматизируют процессы на кассах (DataMatrix), либо реализуются централизованно в головном офисе (СТМ Target Costing).", "supporting_evidence_ids": ["R01-E0003", "R04-E0002", "R04-E0009", "X04-E0008", "X04-E0009", "X04-E0023", "X04-E0024"]}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