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19. Арбитражные решения по вызовам Red Team (V2 Adjudication Rulings)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Agent J02 (Independent Adjudicator &amp; Final Report Architect)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**Дата арбитража:** 2026-08-17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**Эпистемический статус:** Окончательные арбитражные постановления (Final Adjudicated Verdicts)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Сводная таблица арбитражных решений (Adjudication Matrix)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Ruling ID | Challenge ID | Атакуемый объект | Тип вызова | Вердикт арбитража | Финальная критичность | Дельта скора | Ключевое решение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 | :---: | :---: | :---: | :---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**`RUL-V2-01`** | **`CH-V2-01`** | `06_v2_evidence_repaired.jsonl` | `dataset` | **`UPHELD`** | **`HIGH`** | **-3.0** | Все показатели стендовых и пилотных испытаний IT-вендоров (СуперМаг Vision в Ленте R04-E0009, Novo F...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**`RUL-V2-02`** | **`CH-V2-02`** | `16_v2_solution_patterns.jsonl` | `method` | **`PARTIALLY_UPHELD`** | **`HIGH`** | **-4.0** | Проведена дифференциация технологической зрелости по форматам и технологическим компонентам: 1) Патт...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**`RUL-V2-03`** | **`CH-V2-03`** | `16_v2_solution_pattern_atlas.md` | `project` | **`UPHELD`** | **`CRITICAL`** | **-5.0** | Все макроэкономические и агрегированные финансовые метрики в Атласе паттернов и финальном отчете сна...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**`RUL-V2-04`** | **`CH-V2-04`** | `06_v2_evidence_repaired.jsonl` | `dataset` | **`PARTIALLY_UPHELD`** | **`MEDIUM`** | **-2.0** | В аналитическом отчете зафиксирована фундаментальная специфика бизнес-моделей сетей Metro Cash &amp; Car...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**`RUL-V2-05`** | **`CH-V2-05`** | `17_v2_corpus_registry.jsonl` | `method` | **`OVERRULED`** | **`LOW`** | **0.0** | Подтверждена и утверждена абсолютная строгость соблюдения темпоральных границ во всех артефактах V2:...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**`RUL-V2-06`** | **`CH-V2-06`** | `16_v2_solution_pattern_atlas.md` | `project` | **`UPHELD`** | **`CRITICAL`** | **-5.0** | Индустриальный фактор кадрового дефицита (hh-индекс 3.3 резюме/вакансию, текучесть линейного персона...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Детальные арбитражные постановления по вызовам Red Team (RUL-V2-01 .. RUL-V2-06)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RUL-V2-01: Решение по вызову CH-V2-01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`06_v2_evidence_repaired.jsonl` (dataset)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**`UPHELD`**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**`HIGH`**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`-3.0` баллов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Все показатели стендовых и пилотных испытаний IT-вендоров (СуперМаг Vision в Ленте R04-E0009, Novo Forecast в ДА! R10-E0007, Rubbles в Дикси R02-E0003, GoodsForecast.OSA в О'КЕЙ R10-E0008) реклассифицированы в категорию Class A / Vendor Case Study (VCS) с обязательным указанием операционных допущений и ограничений (доля совместимого весового парка, 35-45% False Positive Rate в OSA). Запрещено использовать вендорские кейсы как доказанные аудированные финансовые результаты ритейлеров.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Независимый арбитраж подтверждает, что маркетинговые материалы и кейс-стади разработчиков программного обеспечения не могут приравниваться к официальной отчетности ритейлеров. Применение понижающих эпистемических фильтров (Class A, VCS) исключает вендорский лаундринг и защищает итоговые выводы исследования от необоснованного завышения технологической эффективности.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*«Показатели вендорских платформ (SuperMag Vision, Novo Forecast, Rubbles, GoodsForecast) отражают стендовую и пилотную эффективность в изолированных контурах и подлежат строгому дисконтированию с учетом реальных инфраструктурных ограничений и доли ложных тревог в розничной сети.»*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`R04-E0009`, `R10-E0007`, `R10-E0008`, `R02-E0003`, `X02-E0002`, `X04-E0010`, `X04-E0011`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RUL-V2-02: Решение по вызову CH-V2-02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`16_v2_solution_patterns.jsonl` (method)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**`PARTIALLY_UPHELD`**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**`HIGH`**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`-4.0` баллов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Проведена дифференциация технологической зрелости по форматам и технологическим компонентам: 1) Паттерн V2-PAT-01 (Dynamic Clearance) квалифицирован как зрелый (Stage 4) исключительно для форматов с высокой долей скоропорта и кулинарии (ВкусВилл, Ашан, Перекрёсток, Гипер Лента), но нерелевантный для жестких дискаунтеров (Светофор, К&amp;Б); 2) В паттерне V2-PAT-02 (Space-to-Shelf) разделены компоненты: блочные схемограммы утверждены как зрелое решение Stage 4 (Лента, Ашан, О'КЕЙ), а стационарное и мобильное компьютерное зрение на полках реклассифицировано как экспериментальный пилот Stage 2 (пилот Shelf Sense в 100 магазинах Пятёрочки); 3) Паттерн V2-PAT-05 (Dynamic Pricing) ограничен нерегулируемыми категориями с явным запретом на динамическую наценку по социально значимым KVI.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Арбитраж частично удовлетворяет протест Red Team: объединение зрелых организационных инструментов (схемограммы) с незрелыми аппаратными решениями (полковый CV) создавало иллюзию повсеместной промышленной готовности ИИ. Декомпозиция паттернов восстанавливает реалистичный технологический профиль.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*«В управлении полочным пространством и клиренсом скоропорта статус промышленной эксплуатации (Stage 4) достигнут организационными методами (схемограммы, кассовые стоп-листы DataMatrix в сетях с развитым фрешем), тогда как Computer Vision на полках и сквозное динамическое ценообразование остаются в фазе пилотирования (Stage 2-3).»*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`R01-E0003`, `R04-E0002`, `R04-E0009`, `R05-E0002`, `R06-E0003`, `R07-E0010`, `X04-E0003`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RUL-V2-03: Решение по вызову CH-V2-03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`16_v2_solution_pattern_atlas.md` (project)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**`UPHELD`**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**`CRITICAL`**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`-5.0` баллов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Все макроэкономические и агрегированные финансовые метрики в Атласе паттернов и финальном отчете снабжены обязательными квалификационными сносками (Scope &amp; Horizon Qualifications): 1) Показатель '5 млрд руб. EBITDA от ИИ в X5 Group' строго квалифицирован как суммарный эффект цифровизации всей IT-дирекции (включая логистику РЦ, бэк-офис и 32 тыс. лицензий CoPilot/ACE), а не изолированный полочный CatMan; 2) Эффект '15.8 тыс. тонн / &gt;80 млн руб. в Ашане' зафиксирован как накопительный 5-летний итог (2019-2024); 3) Экономия '48% времени в Ленте' ограничена процедурой сезонного перепланирования выкладки; 4) В финансовые модели внедрены обязательные поправки на каннибализацию (-2.0..-3.5 п.п. маржи от промо-хантинга) и TCO IT-инфраструктуры.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Прямое цитирование агрегированных корпоративных цифр без квалификации периметра создает ложное впечатление сверхвысокой окупаемости точечных CatMan-алгоритмов. Арбитраж обязывает раскрывать методологию происхождения каждой цифры и учитывать чистый эффект за вычетом каннибализации.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*«Финансовые эффекты CatMan-решений должны оцениваться по чистому приросту маржинального дохода (Net Margin Lift) за вычетом каннибализации регулярных продаж и совокупной стоимости владения (TCO), с четким обособлением от общекорпоративных эффектов цифровизации бэк-офиса и логистики.»*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`R01-E0005`, `R04-E0002`, `R07-E0010`, `X04-E0007`, `X04-E0023`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RUL-V2-04: Решение по вызову CH-V2-04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`06_v2_evidence_repaired.jsonl` (dataset)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**`PARTIALLY_UPHELD`**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**`MEDIUM`**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`-2.0` баллов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В аналитическом отчете зафиксирована фундаментальная специфика бизнес-моделей сетей Metro Cash &amp; Carry (R08) и «Самокат» (R09): 1) Metro квалифицирован как специализированный B2B/HoReCa оптовый оператор (&gt;52% выручки) с франшизой «Фасоль» (1700 точек), где CatMan сфокусирован на B2B-контрактах, HoReCa-фасовках и прямой дистрибуции, а не на полочном импульсном мерчандайзинге; 2) «Самокат» квалифицирован как оператор ультрабыстрой e-grocery доставки на базе 2000+ дарксторов (1 млн заказов/день), где CatMan тождествен топологии складских ячеек (WMS pick-path) и алгоритмам динамического пополнения микро-хабов. Разница в количестве записей (7-9 против 26-29) признана объективным отражением форматно-отраслевых границ.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Различие в объеме публичных свидетельств отражает структурные различия в бизнес-моделях (B2B-опт и Darkstore E-commerce против классического сетевого ритейла), а не дефект поискового охвата. Арбитраж утверждает форматную сегментацию требований к CatMan.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*«Категорийный менеджмент в B2B-опте (Metro) и даркстор-логистике (Самокат) подчиняется специализированным законам (HoReCa-кванты, оптимизация маршрутов сборки WMS), принципиально отличным от управления полкой физического супермаркета.»*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`R08-S0001`, `R08-S0002`, `R09-S0001`, `R09-S0004`, `X03-E0007`, `X03-E0008`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RUL-V2-05: Решение по вызову CH-V2-05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`17_v2_corpus_registry.jsonl` (method)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**`OVERRULED`**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**`LOW`**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`0.0` баллов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Подтверждена и утверждена абсолютная строгость соблюдения темпоральных границ во всех артефактах V2: 1) Базовый датасет (06_v2_evidence_repaired.jsonl, 189 записей) строго ограничен baseline cutoff 2026-08-14T23:59:59+05:00; 2) Пост-базовые события 2026-08-15..2026-08-17 изолированы с флагом delta_post_baseline: true (7 записей); 3) Исторический бэкфилл 2019-2023 гг. изолирован в холодном слое (cold_backfill) корпуса без влияния на расчет Current Demand Score 2024-2026. Протест отклонен ввиду полного отсутствия нарушений темпоральной гигиены.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Аудит подтвердил стопроцентное соблюдение темпоральных правил: ни одно историческое или пост-базовое свидетельство не исказило расчет метрик спроса 2024-2026 гг. Требования V2-манифеста выполнены безупречно.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*«Темпоральная структура исследования строго верифицирована: базовый горизонт 2024-2026 зафиксирован на 14.08.2026, дельта-слой изолирован, а исторический бэкфилл выполняет исключительно справочную контекстную функцию.»*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`R05-E0011`, `X04-E0015`, `X04-E0023`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RUL-V2-06: Решение по вызову CH-V2-06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**Целевой артефакт:** `16_v2_solution_pattern_atlas.md` (project)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**Вердикт арбитража:** **`UPHELD`**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**Финальный уровень критичности:** **`CRITICAL`**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**Корректировка скоринга:** `-5.0` баллов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**Предпринятое процессуальное действие:** Индустриальный фактор кадрового дефицита (hh-индекс 3.3 резюме/вакансию, текучесть линейного персонала &gt;70% в год, падение чистой прибыли X5 на -40% в Q2 2026 из-за роста ФОТ) утвержден в качестве Главного Системного Фильтра Реализуемости (Primary Operational Gatekeeper) для всех проектов категорийного менеджмента. Все проектные инициативы разделены на 3 жизнеспособных кластера: 1) Решения, снижающие трудоемкость в зале (схемограммы, SRP-упаковка, паллетная выкладка V2-PAT-02, V2-PAT-06); 2) Полностью автоматизированные без участия персонала решения (кассовая уценка DataMatrix V2-PAT-01, КСО); 3) Централизованные решения коммерческого офиса (СТМ Target Costing V2-PAT-03). Проекты с высокой зависимостью от ручного труда в зале объявлены нереализуемыми.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**Обоснование арбитража:** Острый дефицит персонала магазинов делает невозможным выполнение сложных регламентов выкладки и частой ручной переоценки. Любые CatMan-проекты, игнорирующие фактор нехватки кадров (hh-индекс 3.3), обречены на операционный провал в торговых точках.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**Каноническая разрешенная формулировка (Allowed Final Wording):** *«Кадровый голод в ритейле (hh-индекс 3.3) является ключевым системным барьером: в 2024-2026 гг. жизнеспособны только те решения, которые либо упрощают физический труд персонала (схемограммы), либо автоматизируют процессы на кассах (DataMatrix), либо реализуются централизованно в головном офисе (СТМ Target Costing).»*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**Связанные доказательства:** `R01-E0003`, `R04-E0002`, `R04-E0009`, `X04-E0008`, `X04-E0009`, `X04-E0023`, `X04-E0024`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