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21. Реестр исследовательских лакун и ненаблюдаемых зон (V2 Research Gaps &amp; Unobservable Data Zones)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**Проект:** `CATMAN-RU-V2-EVIDENCE-AND-SOLUTIONS`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**Исследовательский горизонт:** 2024-01-01 — 2026-08-14 (с изолированным дельта-слоем по 17.08.2026)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**Исполнитель:** Agent J02 (Independent Adjudicator &amp; Final Report Architect)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**Эпистемический стандарт:** Строгая фиксация ненаблюдаемых зон данных (Unobservable Data Zones) и исключение неподтвержденных допущений.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Методологический контекст и эпистемические границы исследования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соответствии с фундаментальными эпистемическими правилами исследования: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**Правило Common Policy P08**: *«Отсутствие в открытых источниках не означает отсутствия проекта в компании, но строго запрещает делать утверждения о его наличии без прямых верифицированных свидетельств»*.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**Правило Common Policy P05**: *«Заявления ИТ-вендоров не являются подтвержденными кейсами ритейлеров без явной независимой верификации»*.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Настоящий реестр формализует 5 фундаментальных ненаблюдаемых зон (Unobservable Zones), защищенных режимом коммерческой тайны либо искаженных маркетинговым шумом.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Систематический реестр ненаблюдаемых зон (Unobservable Data Zones)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2.1. Закрытые транзакционные кассовые логи и алгоритмические DWH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**Суть ограничения**: Посекундные чековые данные POS-терминалов, матричные графы совместных покупок и ClickHouse/Greenplum DWH хранилища всех Top-10 ритейлеров (X5, Магнит, Лента, Ашан) являются строжайшей коммерческой тайной.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**Влияние на CatMan-анализ**: Невозможность независимого замера внутрисетевых матриц кросс-эластичности спроса, точной глубины промо-каннибализации при ступенчатой уценке скоропорта и гранулярных коэффициентов замещения брендов внутри товарных подкатегорий.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**Компенсирующий метод**: Использование агрегированных отраслевых обзоров ([NielsenIQ СТМ 2025/2026](https://nielseniq.com/global/ru/insights/analysis/2026/rossiyskiy-rynok-stm-itogi-2025-goda-i-trendy-2026/), [INFOLine Retail Russia TOP-100](https://infoline.spb.ru/news/?news=298744)) и публичных технических статей дата-сайентистов ритейлеров ([Магнит Tech на Habr](https://habr.com/ru/companies/magnit/articles/954224/), [X5 Tech на Habr](https://habr.com/ru/companies/x5tech/articles/891204/)).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2.2. Информационная закрытость бизнес-моделей жестких дискаунтеров (Светофор, К&amp;Б)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**Суть ограничения**: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**ГК «Торгсервис» («Светофор» / «Маяк» / «Золотой ключик»)**: Юридически фрагментирована на сотни региональных юрлиц, не публикует консолидированной МСФО-отчетности, не участвует в публичных конференциях и не раскрывает внутренних ИТ-систем ([интервью Елены Захаренко](https://www.retail.ru/interviews/elena-zakharenko-svetofor-v-nashikh-diskaunterakh-prodayutsya-bazovye-tovary-za-kotorye-net-smysla-p/)).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**Mercury Retail Group («Красное &amp; Белое»)**: Ассортиментная и ценовая политика замкнута лично на основателя Сергея Студенникова ([интервью EcomHub](https://ecomhub.ru/a-real-discussion-a-big-interview-with-the-founder-of-the-red-white-chain-sergei-studennikov/), [Huntflow Media](https://huntflow.media/kak-rukovodit-osnovatel-seti-krasnoye-i-beloye-sergey-studennikov/)).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**Влияние на CatMan-анализ**: Невозможность прямого алгоритмического аудита структуры затрат спотовых закупок «Светофора» и точного замера уровня товарных потерь при 100% паллетной выкладке.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**Компенсирующий метод**: Анализ судебных и надзорных реестров (ФАС, Роспотребнадзор), натурные фоторепортажи торговых залов ([Retail.ru Фоторепортаж](https://www.retail.ru/photoreports/svetofor-chto-stoit-za-tsenoy/)) и интервью поставщиков.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2.3. Контрактная себестоимость СТМ и условия двусторонних соглашений Open-Book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**Суть ограничения**: Контракты на производство СТМ защищены жесткими соглашениями о конфиденциальности (NDA). Ни один ритейлер или производитель не раскрывает публично: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Точную цеховую калькуляцию единицы продукции (Bill of Materials, упаковка, энергетика, прямые трудозатраты);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Фактическую маржинальность ко-пакера (обычно закладываемую в диапазоне 4–8%);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Скрытые штрафные шкалы за срыв сервисного уровня (Service Level / OTIF).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**Влияние на CatMan-анализ**: Ограничивает возможность калибровки точных формул целевой себестоимости в паттерне `V2-PAT-03`.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**Компенсирующий метод**: Использование открытых биржевых индикаторов цен на базовое сырье (сырое молоко Союзмолоко, оптовые цены сахара, зерновые индексы НТБ, полимерное сырье Plastinfo) и модельных допущений класса `A`.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2.4. Совокупная стоимость владения (TCO) и окупаемость Computer Vision на полках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**Суть ограничения**: Ритейлеры публикуют PR-сообщения об успешных тестах распознавания полок нейросетями ([Shelf Sense в 100 магазинах Пятёрочки](https://mediahub.x5.ru/news/ii-prokontroliruet-polki-i-cenniki-v-magazinah-pyatyorochka)), но полностью скрывают: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Капитальные затраты (CAPEX) на оснащение торговых точек стационарными камерами, контроллерами и серверами инференса;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Операционные расходы (OPEX) на регулярную переразметку 30 000+ SKU и дообучение моделей при смене упаковок;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Долю ложных срабатываний (False Positive Rate) в условиях перекрытия фейсингов покупателями.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**Влияние на CatMan-анализ**: Невозможность подтверждения положительного ROI для стационарного полочного Computer Vision.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**Компенсирующий метод**: Фиксация технологии полочного CV в статусе экспериментального пилота (`Observed Pilot`, Stage 2) с явным указанием инфраструктурных ограничений.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2.5. Внутрисетевая динамика каннибализации при ступенчатой уценке скоропорта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**Суть ограничения**: Отсутствие в открытом доступе эмпирических замеров оттока покупателей из регулярных партий в уцененные (промо-хантинг) в течение торгового дня.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**Влияние на CatMan-анализ**: Требует использования экспертных интервальных оценок (-2.0..-3.5 п.п. маржи) при оценке финансового эффекта в паттерне `V2-PAT-01`.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**Компенсирующий метод**: Введение обязательных операционных ограничений (Guardrails: запрет уценки ранее чем за 2–3 часа до закрытия магазина).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Рекомендации по дальнейшим направлениям исследований (Future Research Agenda)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**Проведение эмпирических замеров эластичности спроса по DataMatrix-уценке** в разрезе форматов (дискаунтер vs супермаркет).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**Исследование готовности независимых производителей к формульному контрактованию СТМ** с индексацией по сырьевым корзинам.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**Анализ экономической эффективности электронных ценников (ESL)** в условиях роста стоимости труда торгового персонала (hh-индекс 3.3).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