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"RUN-CATMAN-RU-DR-2024-2026-001",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"orchestrator": "Gemini-Spark-Swarm-Orchestrator",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"real_subagent_spawn_available": true,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"separate_contexts_available": true,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"parallel_execution_available": true,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"web_access_per_subagent": true,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"file_output_per_subagent": true,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"max_concurrency_observed": 14,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"proof_or_run_metadata": [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"Subagent TEST_A spawned independently with isolated nonce NONCE_TEST_ALPHA_938174; executed web search on INFOLine Top 10 FMCG 2024 (ecomhub.ru, infoline.spb.ru).",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"Subagent TEST_B spawned independently with isolated nonce NONCE_TEST_BETA_582103; executed web search on X5/Magnit retail rankings (intellinews.com, tadviser.com).",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"Separate context boundaries verified: neither subagent observed peer nonce or peer instructions.",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"Orchestrator captures subagent artifacts and persists deterministic file outputs to workspace directory."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"attestation_status": "PASS_REAL_SWARM",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"limitations": [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"Subagents cannot spawn further nested subagents (flat wave orchestration only).",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 temporal window strictly bounded by cutoff 2026-08-14."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"timestamp": "2026-08-17T07:23:38.913125+00:00"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