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CatMan Search Ontology &amp; Research Operational Guide (2024–2026)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**Project ID:** `CATMAN-RU-DR-2024-2026`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**Agent:** `O01 (Ontology Curator / Independent CatMan Ontologist)`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**Cutoff Date:** `2026-08-14`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`FROZEN_PRE_COLLECTION`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Executive Summary &amp; Epistemic Protocol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establishes the frozen semantic, structural, and epistemic foundation for the evidence-based research project **CATMAN-RU-DR-2024-2026**.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 Independence and Epistemic Boundaries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**Strict Role Isolation:** Agent O01 formalizes categories, boundary conditions, signal types, and normalization rules *a priori* (before evidence collection).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**Prohibited Information Flow:** No collector findings, premature project conclusions, vendor marketing biases, or retailer preferences may alter this ontology during the extraction waves.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**Temporal Cutoff:** All evidence and factual claims are strictly bound to the observation period between **2024-01-01** and **2026-08-14**.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Topic Taxonomy (L1 &amp; L2 Architecture)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ontology decomposes the modern Russian grocery/FMCG category management domain into 6 core Level 1 (L1) topics and 30 granular Level 2 (L2) subtopics: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