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{"project_id": "PRJ-01", "project_name": "Fresh &amp; Ready-to-Eat (RTE) Spoilage Reduction and Dynamic Clearance Platform", "pain_statement": "Категории скоропорта (Fresh, Ultra-Fresh, RTE / кулинария) формируют до 50–65% товарооборота и ключевой LFL-трафик сетей, но генерируют критические списания (waste/spoilage 4–8% во фреше и 8–15% в кулинарии) из-за короткого срока годности (&lt;24–72 часов), конфликта доступности (OSA) со списаниями и дефицита персонала торгового зала (hh-индекс 3.3). Ручная уценка запаздывает, приводя к утилизации годной продукции и потерям 1.5–3.0% маржи категорий.", "supporting_claim_ids": ["N03-K0008", "N03-K0017", "N02-K0006", "N01-K0010", "N03-K0001", "N02-K0021"], "retailers_with_demand_signal": ["R01_X5", "R06_Vkusvill", "R07_Auchan", "R04_Lenta", "R02_Magnit"], "primary_owner": "Директор по категорийному менеджменту Fresh/RTE / Коммерческий директор (C-1 / C-level)", "beneficiaries": ["Операционный директор (COO)", "Директор по цепочкам поставок (Supply Chain Director)", "Финансовый директор (CFO)", "Руководители направлений 'Кулинария', 'Мясо/Птица', 'Молочная гастрономия'"], "current_workaround": "Ручной визуальный контроль сроков сотрудниками торгового зала, наклеивание фиксированных желтых/красных стикеров (-20% / -30%) за 2–3 часа до закрытия магазина, списание непроданных партий в биологические отходы.", "why_current_solution_insufficient": "Острая нехватка персонала приводит к пропускам просрочки на полках, поздняя плоская скидка не стимулирует покупку в течение дня, кассовые узлы не блокируют продажу товаров с истекшим сроком, ритейлер теряет до 25–35% потенциальной выручки от уцененного товара и несет репутационные риски.", "project_hypothesis": "Развертывание комплексной платформы предиктивной динамической уценки на базе ML (расчет эластичности скидки от остаточного срока годности, скорости продаж и времени суток) с интеграцией мобильных ТСД и автоматической блокировкой партий на кассах снизит списания скоропорта на 20–30%, увеличит маржу Fresh/RTE на 1.2–2.0 п.п. и сохранит OSA &gt;96%.", "scope": ["ML-движок динамического клиренса с алгоритмом оптимизации ступенчатой скидки (15% -&gt; 30% -&gt; 50%) под прогнозный спрос", "Интеграция с кассовым ПО и ФР для считывания динамических DataMatrix/штрихкодов и автоматического применения скидки", "Мобильный интерфейс сотрудника зала на ТСД с плановыми утренними и дневными push-заданиями на перемаркировку", "Сквозной модуль кассовой автоблокировки партий с истекшим сроком годности (система Stop-List / Честный Знак)", "Аналитический дашборд списаний, конверсии уценки и упущенной маржи в разрезе SKU/магазин/категория"], "non_scope": ["Строительство и капитальные инвестиции в фабрики-кухни и цеха кулинарии", "Управление магистральной холодовой логистикой и автопарком рефрижераторов", "Установка стационарных видеокамер и датчиков на полках скоропорта (Shelf CV/IoT)", "Заключение долгосрочных агроконтрактов с производителями (DSD)"], "required_data": ["Партионный учет поступления товаров с датами производства и точным временем окончания срока годности", "Поминутные транзакционные данные кассовых узлов (POS-чеки)", "Текущие остатки торгового зала в реальном времени", "Исторические данные списаний, утилизаций и эластичности спроса на скидки по фреш-категориям"], "operating_model_change": "Переход от реактивного вечернего ручного списания к проактивному внутридневному алгоритмическому клиренсу. Система формирует инспекционные задания на ТСД; категорийный менеджер управляет правилами и допустимыми коридорами уценки в CatMan-консоли вместо ручного согласования скидок.", "pilot_design": "100 тестовых магазинов (50 супермаркетов, 50 магазинов у дома) против 100 контрольных магазинов (matched pairs по товарообороту фреша, географии и структуре чеков); 12 недель (4 недели baseline, 8 недель активной фазы); категории: Молочная гастрономия Ultra-Fresh (&lt;5 дней), Мясная кулинария, Готовые упакованные блюда (RTE), Салаты и выпечка.", "baseline": "Уровень списаний (waste % от ТО категории) = 5.8% (Fresh) и 9.2% (RTE); глубина ручной уценки = 30% flat; конверсия уцененного стока в продажу = 42%; время проведения уценки = 90 минут на смену.", "primary_kpi": "Сокращение объемов списания скоропорта (Write-off / Spoilage rate, % от товарооборота категории) на 25% (с 6.8% до 5.1% по портфелю пилотного фреша).", "secondary_kpis": ["Прирост валовой маржинальности категорий Fresh/RTE на +1.4 п.п.", "Рост выручки от реализации уцененных партий на +35%", "Поддержание On-Shelf Availability (OSA) на уровне &gt;=96.5%", "Снижение трудозатрат персонала на переоценку и инспекцию полок на 40%"], "guardrails": ["Максимальный размер скидки динамического клиренса не превышает 50%", "Запрет предложения уценки для SKU с остаточным сроком годности менее 4 часов (авто-направление на утилизацию)", "Контроль каннибализации полноценового ассортимента: падение продаж регулярных SKU &lt;5%", "Защита индекса удовлетворенности качеством фреша (CSI / Fresh NPS &gt;=85%)"], "expected_effect_status": "sourced", "scores": {"demand_evidence": 24, "business_value": 19, "executive_urgency": 9, "feasibility": 13, "time_to_effect": 9, "novelty": 7, "pm_leverage": 4, "scalability": 5}, "penalties": {"evidence_debt": 0, "vendor_only": 0, "terminology": 0, "data_change_risk": -2, "commodity": -1}, "total_after_penalties": 87, "kill_criteria": ["Снижение совокупной валовой маржи категории (Gross Margin RUB) в тестовой группе по сравнению с контрольной за 6 последовательных недель", "Рост покупательских жалоб и возвратов по качеству/просрочке более чем на 15%", "Исполняемость заданий на уценку персоналом магазинов ниже 65%"], "main_counterargument": "Каннибализация регулярного спроса: риск того, что лояльные покупатели перестанут покупать свежий товар по полной цене, выжидая плановых внутридневных скидок ('промо-хантинг').", "switch_conditions": ["Если дисциплина ручной перемаркировки персоналом падает &lt;65%, переключить пилот на формат электронных ценников (ESL) с автоматической сменой цены", "Если каннибализация полноценовых товаров превышает 10%, ограничить квоту уценяемого стока на полке до 20% от фейсинга"], "confidence": "high"}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{"project_id": "PRJ-02", "project_name": "CatMan Space-to-Shelf Automation: Transition from Micro-Planograms to Schemograms &amp; Computer Vision", "pain_statement": "Острый дефицит линейного персонала (hh-индекс 3.3 в ритейле) и зарплатная инфляция привели к падению соблюдения детальных микропланограмм до 50–65%. Ручной аудит и поштучная расстановка сотен SKU отнимают до 40% рабочего времени персонала, задерживая ввод новинок на недели и создавая визуальный хаос на полке, ведущий к потерям 2–3% доступности (OSA).", "supporting_claim_ids": ["N03-K0003", "N02-K0001", "N01-K0008", "N03-K0016", "N01-K0001", "N02-K0019"], "retailers_with_demand_signal": ["R04_Lenta", "R01_X5", "R02_Magnit", "R07_Auchan", "R05_Svetofor"], "primary_owner": "Директор по пространственному мерчандайзингу (Head of Space Planning / CatMan Operations) / COO", "beneficiaries": ["Операционный директор розничной сети (Retail COO)", "Категорийные менеджеры (Category Managers)", "Директора торговых форматов (Format Heads)", "Руководители полевого мерчандайзинга"], "current_workaround": "Рассылка тяжелых PDF-планограмм со штучной расстановкой SKU, ручная подгонка выкладки сотрудниками под нестандартные полки, выборочный фотоконтроль супервайзерами через мессенджеры.", "why_current_solution_insufficient": "Высокая вариативность торгового оборудования (до 25% различий в геометрии полок одного формата) делает жесткие микропланограммы неисполнимыми; сотрудники тратят до 45 минут на секцию, а фотоконтроль через мессенджеры не дает системной аналитики и запаздывает на дни.", "project_hypothesis": "Отказ от штучных микропланограмм в пользу гибких блочных схемограмм (брендовые и ценовые блоки с авто-расчетом фейсингов по оборачиваемости DOS) и мобильного Computer Vision (распознавание выкладки за 3 секунды с ТСД) высвободит 40–50% трудозатрат персонала на выкладку и поднимет On-Shelf Availability (OSA) на 2.0–3.0 п.п.", "scope": ["Движок алгоритмической генерации блочных схемограмм с динамическим распределением фейсингов на базе оборачиваемости (Days of Supply)", "Мобильное приложение с нейросетевым Image Recognition / CV для автоматической верификации выкладки по фото с ТСД/смартфона", "Модуль авто-адаптации схемограмм под индивидуальную геометрию оборудования каждого магазина сети", "Дашборд комплаенса планограмм и доступности брендовых блоков в режиме реального времени"], "non_scope": ["Установка дорогостоящих стационарных видеокамер на каждом стеллаже торгового зала", "Внедрение автономных мобильных роботов-мерчандайзеров", "Капитальная замена торговых стеллажей и физическая реконструкция залов"], "required_data": ["Паспорта и 3D-габариты торгового оборудования по каждому магазину сети", "Мастер-данные габаритов, веса и типов упаковок SKU", "Помагазинные темпы продаж и оборачиваемость (DOS) SKU", "Датасет размеченных фотографий полок для дообучения CV-модели распознавания"], "operating_model_change": "Категорийный менеджер формирует правила категорийного зонирования и доли брендовых блоков (Share of Shelf) вместо расстановки каждого артикула вручную; система строит адаптированную схемограмму; сотрудник магазина подтверждает выкладку одним кликом фото в ТСД.", "pilot_design": "60 магазинов (30 супермаркетов/гипермаркетов, 30 магазинов у дома) с блочными схемограммами + мобильным CV против 60 контрольных магазинов с жесткими микропланограммами; 16 недель (4 недели оцифровка оборудования и baseline, 12 недель эксплуатации); категории: Бакалея, Напитки/Соки, Бытовая химия и личная гигиена.", "baseline": "Время выкладки/смены планограммы на секцию = 45 мин; комплаенс выкладки = 58%; OSA категории = 91.5%; расхождение факта с планом = 34%.", "primary_kpi": "Сокращение трудозатрат линейного персонала на смену и поддержание выкладки на 45% (с 45 до 25 минут на секцию стеллажа).", "secondary_kpis": ["Рост планограммного комплаенса (Planogram Compliance) с 58% до 88% (+30 п.п.)", "Прирост доступности на полке (OSA) на +2.2 п.п.", "Сокращение времени аудита секции супервайзером с 15 минут до 30 секунд", "Ускорение ввода планограммных ротаций матриц в рознице в 2.5 раза"], "guardrails": ["Точность распознавания SKU мобильным CV (Top-1 Accuracy) &gt;=92%", "Обязательное сохранение KVI-позиций в 'золотой зоне' полки (уровень глаз/рук)", "Плотность товарного запаса на полке не должна снижаться более чем на 3%"], "expected_effect_status": "sourced", "scores": {"demand_evidence": 23, "business_value": 17, "executive_urgency": 8, "feasibility": 13, "time_to_effect": 8, "novelty": 8, "pm_leverage": 5, "scalability": 4}, "penalties": {"evidence_debt": 0, "vendor_only": 0, "terminology": 0, "data_change_risk": -2, "commodity": -1}, "total_after_penalties": 83, "kill_criteria": ["Точность распознавания мобильным CV ниже 80% через 8 недель после старта пилота", "Падение товарооборота (LFL Revenue) в пилотных секциях более чем на 2% по сравнению с контролем", "Уровень отказа персонала от использования ТСД/CV превышает 30% смен"], "main_counterargument": "Утрата жесткого поштучного контроля выкладки приведет к размыванию бренд-блоков ключевых поставщиков и срыву контрактов совместного мерчандайзинга (Share of Shelf).", "switch_conditions": ["При претензиях ключевых CPG-производителей зафиксировать жесткие фейсинги для топ-10 брендов, сохранив блочную схему для остального ассортимента", "При сбоях мобильного CV в условиях плохого освещения торгового зала переключиться на сканирование штрихкодов крайних SKU в блоке"], "confidence": "high"}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{"project_id": "PRJ-03", "project_name": "Private Label (СТМ) Portfolio Restructuring, Tiering &amp; Target Costing Engine", "pain_statement": "Доля СТМ в обороте федеральных ритейлеров превысила 20–35% (и 100% во ВкусВилле), однако портфели перегружены дублирующими позициями 'первой цены' с околонулевой маржой (2–5%), которые каннибализируют маржинальные бренды. Отсутствуют прозрачные инструменты обратного расчета себестоимости (Target Costing) и формульной индексации сырья, что ведет к потере 3–5 п.п. потенциальной валовой маржи категорий и затягиванию Time-to-Market новинок до 7–9 месяцев.", "supporting_claim_ids": ["N03-K0006", "N02-K0004", "N01-K0006", "N03-K0001", "N02-K0022", "N02-K0010"], "retailers_with_demand_signal": ["R01_X5", "R02_Magnit", "R04_Lenta", "R07_Auchan", "R10_OKEY_DA", "R06_Vkusvill"], "primary_owner": "Директор департамента СТМ (Head of Private Label) / Коммерческий директор (CCO)", "beneficiaries": ["Категорийные менеджеры (Category Managers)", "Директор по закупкам (Procurement Director)", "Директор по контролю качества (Quality Assurance Director)", "Финансовый директор (CFO)"], "current_workaround": "Ручные тендеры в Excel на поставку товаров первой цены с выбором минимального ценника, субъективное ценовое позиционирование новинок, редкий ручной пересмотр себестоимости при ежегодной пролонгации контрактов.", "why_current_solution_insufficient": "Поставщики ухудшают рецептуры при заморозке цен, линейки среднего и премиум-сегментов проваливаются из-за неверного прайсинга, а процесс вывода неликвидных СТМ занимает до года, замораживая оборотный капитал сети.", "project_hypothesis": "Внедрение 3-уровневой архитектуры СТМ (First Price -&gt; Middle/Core -&gt; Premium/Health) с алгоритмическим движком Target Costing (автоматический расчет честной себестоимости по биржевым индексам сырья, упаковки и логистики) и жестким 6-месячным циклом валидации продаж увеличит валовую маржу СТМ-портфеля на 2.5–4.0 п.п. и сократит Time-to-Market новинок на 50%.", "scope": ["Классификатор и матричная модель сегментации СТМ по 3 ценовым ярусам и покупательским миссиям", "Движок калькуляции целевой себестоимости (Target Costing Engine) на основе сырьевых биржевых бенчмарков (молоко, мука, сахар, масло, полимеры, гофротара)", "Модуль мониторинга каннибализации брендовых товаров и переключения потребительского спроса", "Автоматизированный гейт-контроль жизненного цикла СТМ (полугодовой фильтр ротации и делистинга неликвидов)", "Интеграция с порталом поставщиков для прозрачных формульных тендеров (Open Book Costing)"], "non_scope": ["Строительство собственных агропромышленных и производственных предприятий", "Лабораторный физико-химический анализ рецептур пищевой продукции", "Креативная разработка айдентики и маркетинговые кампании брендинговых агентств"], "required_data": ["Чековая кросс-аналитика и матрицы переключения покупателей между брендами и СТМ", "Структура затрат контрактного производства (Cost Breakdown поставщиков)", "Динамические биржевые индексы сырья, упаковки и энергоресурсов", "Рейтинги отзывов покупателей, рекламации и возвраты по качеству"], "operating_model_change": "Категорийный менеджер и менеджер СТМ формируют техзадание с расчетным таргетом себестоимости от целевой полочной цены; коммерческие контракты привязываются к формуле сырьевой индексации; SKU с продажами ниже норматива через 6 месяцев автоматически выводятся из матрицы.", "pilot_design": "Пилот в 3 категориях: Молочная гастрономия (Middle/Premium СТМ), Бакалея/Консервация (First Price &amp; Core), Кондитерские изделия и снеки (ЗОЖ/Премиум); 80 тестовых SKU СТМ с формульным Target Costing на 300 магазинов сети; 24 недели (12 недель запуск и ротация, 12 недель оценка финансового эффекта).", "baseline": "Доля СТМ в пилотных категориях = 21.4%; валовая маржа СТМ = 18.2%; средний срок вывода SKU = 210 дней; доля неликвидных СТМ SKU (&lt;10 тыс. руб./мес.) = 28%.", "primary_kpi": "Рост валовой маржинальности (Gross Margin %) в портфеле СТМ пилотных категорий на +3.0 п.п. (с 18.2% до 21.2%).", "secondary_kpis": ["Рост доли СТМ в товарообороте пилотных категорий с 21.4% до 26.5% (+5.1 п.п.)", "Сокращение Time-to-Market запуска нового СТМ SKU с 210 до 95 дней (-55%)", "Снижение доли неликвидных СТМ позиций в матрице с 28% до 12%", "Прирост совокупного маржинального дохода категории (Category Gross Profit RUB) на +4.5%"], "guardrails": ["Сохранение ценового индекса KVI первой цены (First Price) строго ниже рынка на 10–15%", "Рейтинг удовлетворенности качеством СТМ (Customer Rating) &gt;=4.6 из 5.0", "Падение товарооборота брендов CPG-партнеров в категории не более 8% (защита доходности контрактов)"], "expected_effect_status": "sourced", "scores": {"demand_evidence": 24, "business_value": 20, "executive_urgency": 10, "feasibility": 12, "time_to_effect": 7, "novelty": 7, "pm_leverage": 5, "scalability": 5}, "penalties": {"evidence_debt": 0, "vendor_only": 0, "terminology": 0, "data_change_risk": -3, "commodity": 0}, "total_after_penalties": 87, "kill_criteria": ["Падение совокупной выручки категории (Total Category Revenue) из-за оттока покупателей брендов", "Снижение суммарной рублевой валовой прибыли категории за 12 недель активной фазы пилота", "Уровень брака и жалоб покупателей по новым линейкам СТМ выше 0.8% от партий"], "main_counterargument": "Отказ поставщиков раскрывать структуру производственных затрат (Open Book) и риск срыва контрактных поставок при попытках диктовать целевую себестоимость.", "switch_conditions": ["При отказе поставщиков от Open Book перейти на расчет целевой себестоимости по публичным бенчмаркам отраслевых союзов (Союзмолоко, Зерновой союз)", "При чрезмерной каннибализации брендовой маржи скорректировать полку в пользу премиальных и крафтовых СТМ-линеек"], "confidence": "high"}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{"project_id": "PRJ-04", "project_name": "Automated In-House Forecasting &amp; Replenishment (F&amp;R) Core &amp; Phantom OOS Elimination", "pain_statement": "После ухода зарубежных платформ (Relex, JDA, SAP, SymphonyAI) ритейлеры столкнулись с деградацией точности автозаказа и системной проблемой 'фантомных/виртуальных остатков' (товар числится на балансе ERP, но отсутствует на полке из-за краж, пересорта или потерь в подсобке). Автозаказ блокируется, ритейлеры теряют 2–4% товарооборота при ложном нулевом спросе, а ручные инвентаризации проводятся слишком редко.", "supporting_claim_ids": ["N03-K0004", "N03-K0019", "N02-K0002", "N02-K0009", "N01-K0004", "N01-K0007"], "retailers_with_demand_signal": ["R02_Magnit", "R01_X5", "R04_Lenta", "R10_OKEY_DA", "R06_Vkusvill"], "primary_owner": "Директор по цепочкам поставок (Supply Chain Director) / CTO / C-level (COO)", "beneficiaries": ["Директора распределительных центров (DC Heads)", "Категорийные менеджеры (Category Managers)", "Директора розничных магазинов", "Финансовый директор (CFO)"], "current_workaround": "Ночные ручные инвентаризации раз в квартал, ручные корректировки заказов директорами магазинов в 1С/ERP ('накрутка страховых остатков'), статичные кванты пополнения.", "why_current_solution_insufficient": "Фантомный дефицит живет неделями до плановой ревизии, ручная 'накрутка' заказов директорами магазинов искажает спрос и замораживает до 15% лишнего рабочего капитала в переполненных подсобках.", "project_hypothesis": "Развертывание распределенного F&amp;R-ядра (градиентный бустинг с учетом погодных факторов, промо и эластичности) в интеграции с ML-модулем детекции фантомных остатков по аномалиям кассовых чеков позволит восстановить цепочку автозаказа, снизить Out-of-Stock на 30–40% и вернуть 1.5–2.5% потерянного товарооборота.", "scope": ["Микросервисный движок многоуровневого прогнозирования спроса (РЦ -&gt; Магазин -&gt; Полка) на открытом стеке (Python, Spark, Kafka)", "ML-алгоритм выявления 'фантомного OOS' по кассовым аномалиям (zero-sales detection при наличии расчетного остатка)", "Модуль генерации таргетированных push-заданий для персонала магазинов на проверку полок и локальное списание через ТСД", "Автоматическая очистка учетных балансов и разблокировка автозаказа при подтверждении дефицита", "Дашборд контроля точности прогнозирования (WAPE/FA) и динамики доступности (OSA)"], "non_scope": ["Физическая механизация и установка конвейеров на распределительных центрах", "Управление магистральным автотранспортом и маршрутизация рейсов (TMS)", "Полная замена базовой бухгалтерской ERP-системы ритейлера"], "required_data": ["Поминутные потоки транзакций POS-касс и фискальных регистраторов", "Исторические данные продаж, промо-акций и промо-глубины за 3 года", "Погодные архивы и гиперлокальные метеопрогнозы (GISMETEO/Яндекс Погода)", "Матрицы квантов поставок, графиков отгрузок и остатков РЦ/магазинов"], "operating_model_change": "Запрет ручной корректировки заказов пополнения директорами магазинов (переход на 95% автозаказ); персонал торгового зала отрабатывает только таргетированные задачи по инспекции полок, сгенерированные алгоритмом детекции фантомных остатков.", "pilot_design": "1 логистический распределительный центр + прикрепленные 250 магазинов формата 'у дома' против контрольного РЦ с аналогичной сетью; 20 недель (8 недель калибровка моделей и параллельный прогон, 12 недель боевой автозаказ); категории: Бакалея, Напитки, Молочная продукция, Заморозка.", "baseline": "Точность прогнозирования спроса (FA 1-WAPE) = 68.5%; уровень OOS = 8.4%; доля фантомных остатков в матрице = 4.2%; оборачиваемость запасов = 24.5 дней.", "primary_kpi": "Рост точности прогнозирования спроса (Forecast Accuracy) на +12 п.п. (с 68.5% до 80.5%) и снижение OOS на 35% (с 8.4% до 5.5%).", "secondary_kpis": ["Сокращение товарных запасов в днях на -10% (с 24.5 до 22.0 дней)", "Выявление и ликвидация фантомных остатков в течение 24 часов с момента возникновения", "Прирост LFL розничной выручки пилотного кластера на +1.8%", "Снижение доли ручных правок заказов с 42% до &lt;5%"], "guardrails": ["Уровень сервиса логистики (Service Level РЦ -&gt; Магазин) не опускается ниже 97.5%", "Запрет завышения страхового запаса свыше 3 дней сверх норматива", "Доля ложноположительных сигналов фантомного OOS (False Positive Rate) &lt;15%"], "expected_effect_status": "sourced", "scores": {"demand_evidence": 25, "business_value": 20, "executive_urgency": 9, "feasibility": 10, "time_to_effect": 6, "novelty": 6, "pm_leverage": 4, "scalability": 5}, "penalties": {"evidence_debt": 0, "vendor_only": 0, "terminology": 0, "data_change_risk": -4, "commodity": -1}, "total_after_penalties": 80, "kill_criteria": ["Падение доступности товаров на полке (OSA) ниже 92% в течение 2 последовательных недель", "Рост списаний из-за оверстока на РЦ более чем на 20%", "Срыв сроков отгрузок с РЦ из-за перегрузки вычислительного кластера F&amp;R"], "main_counterargument": "Высокие риски и многолетняя длительность разработки сложного in-house ядра: риск затягивания проекта на 2–3 года и перерасхода ИТ-бюджета при наличии готовых вендорских систем (Rubbles, Novo BI).", "switch_conditions": ["Если собственная разработка ядра задерживается более чем на 6 месяцев, перейти на закупку готового промышленного решения отечественного вендора (Rubbles/GoodsForecast)", "Если качество данных мастер-каталога неудовлетворительно, ограничить скоуп пилота только топ-20% SKU (A-класс Парето)"], "confidence": "high"}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{"project_id": "PRJ-05", "project_name": "Unified Net-Net &amp; Dynamic Algorithmic Pricing Engine (RGM)", "pain_statement": "Традиционная модель доходности категорий искажена глубоким промо (50–70% объема продаж со скидками до 40%) и непрозрачными ретро-бонусами, порождающими 'промо-ямы' и разрушение регулярной ценовой архитектуры. Ритейлеры ограничены потолком наценок ФАС на базовые KVI (до 4.7%), теряя маржинальность, в то время как категорийные менеджеры физически не успевают пересчитывать тысячи цен в Excel.", "supporting_claim_ids": ["N03-K0005", "N02-K0003", "N01-K0003", "N03-K0012", "N02-K0015", "N02-K0018"], "retailers_with_demand_signal": ["R04_Lenta", "R07_Auchan", "R02_Magnit", "R01_X5", "R03_Mercury_KB"], "primary_owner": "Коммерческий директор (CCO) / Директор по ценообразованию и RGM", "beneficiaries": ["Категорийные менеджеры (Category Managers)", "Финансовый директор (CFO)", "Директор по маркетингу (CMO)", "Служба внутреннего аудита и комплаенса"], "current_workaround": "Управление ценами через статические правила наценки (Rule-based) в ERP, ручной пересчет матриц KVI в Excel по результатам парсинга конкурентов, согласование промо-бюджетов через квартальные переговоры.", "why_current_solution_insufficient": "Rule-based системы не учитывают перекрестную эластичность спроса (cross-price elasticity), парсинг конкурентов запаздывает, ритейлер теряет маржу на неэластичных товарах и продает промо-товары в убыток без инкрементального эффекта.", "project_hypothesis": "Перевод категорий на прозрачную модель 'Net-Net' (чистая закупочная цена без бонусов) в сочетании с алгоритмическим ML-движком ценообразования (оптимизация наценок на бэк-корзину при жестком удержании ценового индекса KVI) увеличит совокупный валовый доход (Gross Margin RUB) на 1.5–2.5% при сохранении конкурентного Price Index.", "scope": ["ML-модель оценки собственной и перекрестной ценовой эластичности спроса по товарным подкатегориям", "Алгоритмический оптимизатор цен с функцией максимизации маржинального дохода при ограничениях ценового индекса KVI", "Методология и переговорный регламент перевода контрактов поставщиков на условия 'Net-Net'", "Модуль мониторинга и автоматического матчинга цен конкурентов в реальном времени", "Интерфейс категорийного менеджера для сценарного what-if моделирования изменения цен"], "non_scope": ["Персонализированное 1-to-1 промо и механики начисления баллов в мобильном приложении лояльности", "Электронные ценники на полках (ESL) и их физический монтаж в торговых залах", "Юридические судебные споры с поставщиками при расторжении бонусных соглашений"], "required_data": ["Транзакционные логи чеков и эластичность продаж при исторических изменениях цен", "Ежедневные данные мониторинга и веб-скрейпинга цен ключевых конкурентов", "Точная структура закупочной цены Net-Net и логистических затрат на SKU", "Классификатор корзин: KVI (ценообразующие), Front-basket, Back-basket (неэластичные)"], "operating_model_change": "Категорийный менеджер перестает вручную ставить наценки на каждый артикул; он задает бизнес-правила (целевой индекс KVI, минимальная маржа, ограничения шага цены), а система ежедневно рассчитывает оптимальные цены и формирует файлы переоценки.", "pilot_design": "120 магазинов (4 ценовых кластера по 30 магазинов) против 120 контрольных магазинов; 16 недель (4 недели baseline, 12 недель оптимизации цен); категории: Бакалея (крупы, макароны, масло), Бытовая химия, Кондитерские изделия, Напитки.", "baseline": "Валовая маржа пилотных категорий = 22.8%; ценовой индекс к конкурентам по KVI = 98.5%; доля промо-продаж в категориях = 56%; частота переоценки = 1 раз в 14 дней.", "primary_kpi": "Прирост абсолютного валового дохода категорий (Gross Profit RUB Lift) на +2.2% в тестовой группе относительно контроля при сохранении Price Index KVI &lt;=99.0%.", "secondary_kpis": ["Снижение доли глубокого субсидированного промо в категориях на -6 п.п. (с 56% до 50%)", "Рост точности прогнозирования отклика на изменение цены до 85%", "Сокращение времени категорийного менеджера на расчет регулярных цен на 70%", "Увеличение конверсии базовой корзины покупателей на +1.2%"], "guardrails": ["Ценовой индекс на товары первой цены и СЗТ не превышает 97.0% к ключевому дискаунтеру локации", "Максимальное разовое изменение цены на неэластичные SKU не превышает +/-7%", "Падение натуральных продаж в штуках (Units Sold) в категории не более 2.5%"], "expected_effect_status": "sourced", "scores": {"demand_evidence": 23, "business_value": 19, "executive_urgency": 9, "feasibility": 12, "time_to_effect": 8, "novelty": 7, "pm_leverage": 4, "scalability": 5}, "penalties": {"evidence_debt": 0, "vendor_only": 0, "terminology": 0, "data_change_risk": -3, "commodity": -1}, "total_after_penalties": 83, "kill_criteria": ["Ухудшение ценового индекса KVI выше 101.0% к конкурентам на протяжении 3 недель", "Падение покупательского трафика или числа чеков в тестовой группе более чем на 3.0%", "Массовый делистинг топ-поставщиков из-за отказа от бонусных соглашений"], "main_counterargument": "Сопротивление крупнейших транснациональных и федеральных CPG-поставщиков переходу на Net-Net и регуляторный риск претензий ФАС по синхронному изменению цен.", "switch_conditions": ["При жестком сопротивлении поставщиков внедрить динамический прайсинг на базе текущих бонусных контрактов, отложив Net-Net на второй этап", "При росте инфляции заморозить верхнюю планку алгоритмической наценки на социально чувствительные подкатегории"], "confidence": "high"}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{"project_id": "PRJ-06", "project_name": "Pragmatic Macro-Clustering &amp; Assortment Rationalization with Full Logistics Cost-to-Serve", "pain_statement": "Попытки внедрения гранулярной микрокластеризации магазинов (десятки кластеров) провалились из-за экспоненциального роста логистических затрат на мелкопартионную доставку и расщепление квантов отгрузки на РЦ. В то же время единая унифицированная матрица приводит к затовариванию полок неликвидными SKU в малых форматах и упущенным продажам в магазинах с высоким доходом, создавая до 20–30% балластных позиций (tail SKU).", "supporting_claim_ids": ["N03-K0015", "N01-K0011", "N01-K0003", "N02-K0015", "N02-K0020", "N03-K0007"], "retailers_with_demand_signal": ["R02_Magnit", "R01_X5", "R04_Lenta", "R07_Auchan", "R05_Svetofor"], "primary_owner": "Директор по категорийному менеджменту сети / Директор по логистике (SCM Director)", "beneficiaries": ["Категорийные менеджеры (Category Managers)", "Операционный директор (COO)", "Директора распределительных центров", "Финансовый директор (CFO)"], "current_workaround": "Формирование ассортиментных матриц по форматам (магазин у дома / супермаркет / гипермаркет) с ручными локальными дописками директоров филиалов в 1С.", "why_current_solution_insufficient": "Форматные матрицы не учитывают локальную специфику спроса (доход, трафик, этнические и региональные предпочтения), а бесконтрольный ручной ввод региональных SKU раздувает складские остатки и разрушает логистическую кратность поставок.", "project_hypothesis": "Переход к прагматичной модели макро-кластеризации (3–5 устойчивых кластеров на формат: Премиум/Сити, Спальный стандарт, Эконом/Трафик) с алгоритмом рационализации SKU на основе совокупной себестоимости обслуживания (Full Cost-to-Serve) высвободит 15–20% полочного пространства, снизит логистические затраты на 8–12% и повысит маржинальность категории на 1.0–1.8 п.п.", "scope": ["Алгоритм кластеризации магазинов (KMeans по профилю чеков и покупательской способности) с ограничением числа кластеров (не более 4 на формат)", "Модель расчета полной стоимости обслуживания SKU (Cost-to-Serve: затраты на хранение, транспортировку, обработку на РЦ и выкладку)", "Автоматизированный модуль оптимизации ширины матрицы и квотирования ассортимента (Tail SKU Pruning)", "Инструмент согласования минимальных логистических квантов между CatMan и Supply Chain", "Дашборд рентабельности полочного пространства (Space Profitability per Cluster)"], "non_scope": ["Индивидуализация ассортиментных матриц под каждый отдельный магазин сети (микрокластеризация 1:1)", "Строительство новых кросс-докинговых платформ и распределительных центров", "Управление договорами аренды и локационным поиском объектов недвижимости"], "required_data": ["Чековые транзакции и структуры потребительских корзин по всем торговым точкам сети", "Полная калькуляция логистических затрат на обработку коробки/паллеты на РЦ и доставку в магазины", "Мастер-данные габаритов, веса, кратности упаковки и минимального заказа (MOQ) по SKU", "Показатели оборачиваемости, списаний и доходности каждого артикула в разрезе магазинов"], "operating_model_change": "Категорийный менеджер формирует базовую матрицу и 3 кластерных расширения вместо десятков региональных версий; включение любого SKU в матрицу валидируется фильтром Cost-to-Serve; низкооборачиваемый 'хвост' автоматически блокируется к автозаказу.", "pilot_design": "150 магазинов формата 'у дома' (по 50 магазинов в 3 кластерах: 'Сити/Высокий чек', 'Спальный стандарт', 'Транзитный эконом') против 150 контрольных магазинов со стандартной матрицей; 16 недель (4 недели baseline, 12 недель пилотных матриц); категории: Чай/Кофе, Кондитерские изделия, Соусы/Консервация, Алкоголь/Пиво.", "baseline": "Количество SKU в пилотных категориях = 650; доля неликвидного хвоста (нижние 20% по продажам) = 18.5%; логистические затраты на категорию = 7.4% от ТО; оборачиваемость = 32 дня.", "primary_kpi": "Сокращение балластного хвоста ассортимента (Tail SKU) на 25% при росте плотности продаж категории (Sales per Sq Meter) на +4.0%.", "secondary_kpis": ["Снижение суммарных логистических издержек категории (Cost-to-Serve) на -8.5%", "Увеличение валовой маржинальности категорий на +1.2 п.п.", "Ускорение оборачиваемости запасов в магазинах на 4 дня (с 32 до 28 дней)", "Повышение точности попадания в локальный спрос кластера (Cluster Basket Affinity) на +15%"], "guardrails": ["Общее падение выручки категории в штуках не должно превышать 1.5%", "Сохранение топ-20 брендов-маркеров категории во всех кластерах без исключений", "Исполняемость квантов поставок на РЦ не ниже 98%"], "expected_effect_status": "sourced", "scores": {"demand_evidence": 22, "business_value": 17, "executive_urgency": 7, "feasibility": 13, "time_to_effect": 8, "novelty": 7, "pm_leverage": 5, "scalability": 4}, "penalties": {"evidence_debt": 0, "vendor_only": 0, "terminology": 0, "data_change_risk": -2, "commodity": -1}, "total_after_penalties": 80, "kill_criteria": ["Падение LFL-выручки в пилотном кластере более чем на 2.5% относительно контроля", "Рост логистических затрат на обработку заказов на РЦ из-за дробления квантов", "Рост списаний выведенных позиций свыше 0.5% от оборота категории"], "main_counterargument": "Сопротивление категорийных менеджеров сокращению SKU из-за риска потери листинговых платежей и страха потерять покупателей нишевых вкусов.", "switch_conditions": ["При риске потери ключевых покупателей оставить опцию заказа нишевых SKU через канал E-Grocery / Click &amp; Collect ('бесконечная полка')", "При логистических сбоях на РЦ укрупнить кластеры до 2 базовых типов ('Город' и 'Регион')"], "confidence": "high"}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