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10. CatMan Project One-Pagers (W4 Shortlist &amp; Provisional Ranking)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**Версия:** 1.0 (W4 Shortlist Frozen)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**Research Cutoff:** 2026-08-14T23:59:59+05:00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**Базовый массив свидетельств:** 06_evidence_verified.jsonl, 08_claims_ledger_pre_adjudication.jsonl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Сводная сравнительная таблица проектов (Project Scorecard Summary)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Ранг | Project ID | Название проекта | Спрос (25) | Ценность (20) | C-Level Срочность (10) | Реализуемость (15) | Time-to-Effect (10) | Новизна (10) | PM Рычаг (5) | Масштаб (5) | Raw Total | Штрафы | Total Score | Статус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:---: | :---: | :---: | :---: | :---: | :---: | :---: | :---: | :---: | :---: | :---: | :---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**PRJ-01** | **Fresh &amp; RTE Spoilage Reduction &amp; Dynamic Clearance Platform** | 24 | 19 | 9 | 13 | 9 | 7 | 4 | 5 | 90 | -3 | **87** | **Условный лидер (Provisional Leader)**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**PRJ-03** | **Private Label (СТМ) Portfolio Restructuring &amp; Target Costing Engine** | 24 | 20 | 10 | 12 | 7 | 7 | 5 | 5 | 90 | -3 | **87** | **Top-3 Shortlist**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**PRJ-05** | **Unified Net-Net &amp; Dynamic Algorithmic Pricing Engine (RGM)** | 23 | 19 | 9 | 12 | 8 | 7 | 4 | 5 | 87 | -4 | **83** | **Top-3 Shortlist**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**PRJ-02** | **Space-to-Shelf Automation: Schemograms &amp; Computer Vision** | 23 | 17 | 8 | 13 | 8 | 8 | 5 | 4 | 86 | -3 | **83** | **Альтернатива**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**PRJ-04** | **In-House F&amp;R Forecasting &amp; Phantom OOS Elimination** | 25 | 20 | 9 | 10 | 6 | 6 | 4 | 5 | 85 | -5 | **80** | **Альтернатива**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**PRJ-06** | **Macro-Clustering &amp; Assortment Rationalization (Cost-to-Serve)** | 22 | 17 | 7 | 13 | 8 | 7 | 5 | 4 | 83 | -3 | **80** | **Альтернатива**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Обоснование выбора Top-3 и условного лидера (Provisional Leader)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Условный лидер: PRJ-01 (Fresh &amp; Ready-to-Eat Spoilage Reduction &amp; Dynamic Clearance)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**Почему на 1-м месте**: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**Максимальная операционная срочность и подтвержденный спрос**: Готовая еда (RTE) и ультрафреш растут взрывными темпами во всех сетях (18% оборота ВкусВилла, 500 кафе Select X5, «Киты еды» в Монетке), но генерируют критические списания (waste 5–15%), съедающие маржу ритейлера.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**Быстрый измеримый финансовый эффект (Time-to-Effect 8–12 недель)**: В отличие от многолетних ERP/F&amp;R проектов, динамический клиренс на кассах дает моментальный отклик в P&amp;L (сокращение списаний на 25% и рост маржи категории на +1.4 п.п.).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**Низкий риск изменения данных (Data Feasibility)**: Не требует перестройки всего IT-контура, опираясь на партионный учет и кассовые POS-данные.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Ближайший конкурент: PRJ-03 (СТМ Target Costing &amp; Tiering)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Имеет равный балл (87), но уступает по скорости развертывания (Time-to-Market пересмотра СТМ контрактов 6–9 месяцев против 3 месяцев у динамического клиренса). Становится победителем в сетях с высокой долей СТМ (&gt;40%).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2.3. Третий призер: PRJ-05 (Net-Net &amp; Dynamic Algorithmic Pricing)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Критически важен для коммерческих дирекций (CCO) для защиты от регуляторных ограничений наценок ФАС на KVI, однако требует преодоления сопротивления CPG-поставщиков при переходе на Net-Net.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Детальные One-Pagers проектов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*(Полный паспорт проектов PRJ-01..PRJ-06 зафиксирован в машиночитаемом реестре 10_project_hypotheses.jsonl и доступен для анализа Red Team)*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