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project_id,project_name,demand_evidence,business_value,executive_urgency,feasibility,time_to_effect,novelty,pm_leverage,scalability,raw_total,evidence_debt,vendor_only,terminology,data_change_risk,commodity,total_after_penalties,rank,status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PRJ-01,"Fresh &amp; Ready-to-Eat (RTE) Spoilage Reduction and Dynamic Clearance Platform",24,19,9,13,9,7,4,5,90,0,0,0,-2,-1,87,1,Provisional Winner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PRJ-03,"Private Label (СТМ) Portfolio Restructuring, Tiering &amp; Target Costing Engine",24,20,10,12,7,7,5,5,90,0,0,0,-3,0,87,2,Top-3 Shortlist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PRJ-02,"CatMan Space-to-Shelf Automation: Transition from Micro-Planograms to Schemograms &amp; Computer Vision",23,17,8,13,8,8,5,4,86,0,0,0,-2,-1,83,3,Top-3 Shortlist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PRJ-05,"Unified Net-Net &amp; Dynamic Algorithmic Pricing Engine (RGM)",23,19,9,12,8,7,4,5,87,0,0,0,-3,-1,83,4,Alternative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PRJ-04,"Automated In-House Forecasting &amp; Replenishment (F&amp;R) Core &amp; Phantom OOS Elimination",25,20,9,10,6,6,4,5,85,0,0,0,-4,-1,80,5,Alternative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PRJ-06,"Pragmatic Macro-Clustering &amp; Assortment Rationalization with Full Logistics Cost-to-Serve",22,17,7,13,8,7,5,4,83,0,0,0,-2,-1,80,6,Alternative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