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14. Реестр исследовательских лакун и ограничений (Research Gaps &amp; Unobservable Data Zones)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CATMAN-RU-DR-2024-2026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**Горизонт ретроспективы:** 2024-01-01 — 2026-08-14 (Research Cutoff: 2026-08-14T23:59:59+05:00)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**Агент:** Agent J01 (Final Independent Adjudicator)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**Статус:** Verified &amp; Adjudicated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Методологический контекст и эпистемические границы исследования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Настоящий реестр фиксирует области категорийного менеджмента, цепочек поставок и ИТ-ландшафта Top-10 FMCG ритейлеров РФ за период 2024–2026 гг., которые являются фундаментально ненаблюдаемыми в открытых источниках (Unobservable Data Zones), защищены режимом коммерческой тайны либо искажены маркетинговым шумом поставщиков ИТ-решений.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соответствии с правилом **Common Policy P08** («Отсутствие в открытых источниках не означает отсутствия проекта в компании, но запрещает делать утверждения о его наличии без прямых свидетельств») и правилом **P05** («Заявления вендоров не являются подтвержденными кейсами без подтверждения ритейлером»), арбитражная панель строго разграничивает подтвержденные факты и ненаблюдаемые «слепые зоны».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Систематический реестр ненаблюдаемых зон (Unobservable Data Zones)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2.1. Закрытые корпоративные ERP и транзакционные кассовые логи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ограничения:** Первичные чековые данные (детализированные чековые логи POS-терминалов с точностью до секунды и корзины) и базы транзакций в системах *1С:Предприятие 8.3*, *Set Retail 10*, *Artix*, *SAP ERP*, *Microsoft Dynamics AX* являются строжайшей коммерческой тайной всех Top-10 ритейлеров.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**Влияние на CatMan-анализ:** Невозможно независимо верифицировать внутренние коэффициенты перекрестной эластичности спроса, реальную глубину промо-каннибализации регулярного ассортимента и точность чековых графов совместных покупок без доступа к внутренним хранилищам данных (DWH / ClickHouse / Greenplum) торговых сетей.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**Компенсирующий метод:** Использование агрегированных макро-отчетов исследовательских агентств ([NielsenIQ СТМ 2025/2026](https://nielseniq.com/global/ru/insights/analysis/2026/rossiyskiy-rynok-stm-itogi-2025-goda-i-trendy-2026/), [INFOLine Retail Russia TOP-100](https://infoline.spb.ru/shop/issledovaniya-rynkov/detail.php?ID=284910)) и официальных публикаций дата-сайентистов ритейлеров ([Магнит Tech на Habr](https://habr.com/ru/companies/magnit/articles/954224/)), ([X5 Tech на Habr](https://habr.com/ru/companies/x5tech/articles/891204/)).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2.2. Непубличность и закрытость бизнес-моделей жестких дискаунтеров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ограничения:** ГК «Торгсервис» (сеть дискаунтеров «Светофор» и гипермаркетов «Маяк») и Mercury Retail Group (сеть «Красное &amp; Белое») ведут ультра-закрытую информационную политику: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**ГК «Торгсервис» (Светофор):** Компания юридически фрагментирована на сотни региональных операционных юрлиц (ООО «Торгсервис 54», ООО «Торгсервис 77» и др.), не публикует консолидированной МСФО-отчетности, не участвует в публичных отраслевых конференциях, не ведет внешних связей с прессой и принципиально не раскрывает внутренних ИТ-архитектур ([интервью Елены Захаренко](https://www.retail.ru/interviews/elena-zakharenko-svetofor-v-nashikh-diskaunterakh-prodayutsya-bazovye-tovary-za-kotorye-net-smysla-p/)).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**Mercury Retail Group (К&amp;Б):** Управление ассортиментом и ценообразованием централизовано лично на уровне основателя Сергея Студенникова ([интервью EcomHub](https://ecomhub.ru/a-real-discussion-a-big-interview-with-the-founder-of-the-red-white-chain-sergei-studennikov/), [публикация Huntflow Media](https://huntflow.media/kak-rukovodit-osnovatel-seti-krasnoye-i-beloye-sergey-studennikov/)), а операционные метрики раскрываются фрагментарно.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**Влияние на CatMan-анализ:** Невозможность алгоритмического анализа структуры себестоимости поставок в «Светофоре» и точного замера процента брака при паллетной выкладке.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**Компенсирующий метод:** Анализ судебных реестров, проверок надзорных органов (ФАС, Роспотребнадзор), фоторепортажей торговых залов ([Retail.ru: Светофор — что стоит за ценой](https://www.retail.ru/photoreports/svetofor-chto-stoit-za-tsenoy/)) и данных поставщиков, работающих по спотовым контрактам.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2.3. Реальная контрактная себестоимость СТМ и условия Open-Book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ограничения:** Двусторонние соглашения о контрактном производстве собственных торговых марок (СТМ) содержат жесткие соглашения о неразглашении (NDA). Ни один производитель или ритейлер не раскрывает публично: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Фактическую цеховую себестоимость единицы продукции (Bill of Materials, прямые трудозатраты, амортизацию оборудования);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Размер производственной маржи переработчика (обычно закладываемой в диапазоне 4–8%);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Скрытые штрафные санкции за отклонение от графика поставок или невыполнение квот по объему (MOQ).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**Влияние на CatMan-анализ:** Ограничивает возможность независимой калибровки целевой функции в проекте `PRJ-03` (Private Label Target Costing Engine) исключительно расчетными сырьевыми индексами.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**Компенсирующий метод:** Применение формульных моделей на базе публичных котировок биржевого и внебиржевого сырья (индексы Союзмолоко, цены на пшеницу 3/4 класса, котировки подсолнечного масла, биржевые цены на гранулы ПЭТ/полипропилена).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2.4. Фактические объемы и структура списаний скоропорта (Waste &amp; Shrinkage)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ограничения:** Публичные ритейлеры (X5 Group, Магнит, Лента) в МСФО-отчетах раскрывают валовую рентабельность и общие коммерческие расходы (SG&amp;A), но агрегируют потери от порчи и списаний скоропорта (Fresh, Ultra-Fresh, RTE) внутри строки «Себестоимость продаж» (Cost of Sales) без постатейной детализации по товарным категориям.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**Влияние на CatMan-анализ:** Оценки списаний кулинарии и готовой еды в размере 5–15% и ультрафреша в размере 3–7% базируются на экспертных оценках и пилотных докладах, но не могут быть сопоставлены в рамках сквозного межсетевого финансового бенчмарка.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**Компенсирующий метод:** Анализ отраслевых кейсов платформ взаимодействия с поставщиками ([X5 Dialog Connect](https://dialog.x5.ru/connect/case/kejs-avtomaticheskoe-upravlenie-utsenkoy-v-kategorii-svezhiy-hleb-i-moloko/)), интервью категорийных директоров ([ВкусВилл](https://sfera.fm/interviews/fud-reteil/kak-vkusvill-vystroil-assortiment-vokrug-stm-intervyu-s-komandoi-brenda), [Магнит](https://www.retail.ru/interviews/inna-kostenko-magnit-gotovaya-eda-eto-vozmozhnost-dlya-riteyla-zayti-na-krayne-perspektivnuyu-territ/)) и открытых пилотов систем динамической уценки на кассах ([Ашан](https://retailer.ru/ashan-vnedril-dinamicheskoe-upravlenie-utsenkoy-skoroporta-na-kassakh/)).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2.5. Закрытые соглашения совместного планирования (JBP) и маркетинговые ретро-бонусы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ограничения:** Индивидуальные коммерческие условия Joint Business Planning (JBP) между ритейлерами и транснациональными/федеральными CPG-гигантами (Danone/Health &amp; Nutrition, PepsiCo, Балтика, Черкизово) строго конфиденциальны: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Не раскрывается точный размер выплат за долю полки (Share of Shelf) и золотые уровни выкладки;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Не публикуются условия компенсации утилизации неликвидов;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Скрыты реальные схемы взаиморасчетов и ретро-скидок, маскируемые под маркетинговые услуги.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**Влияние на CatMan-анализ:** Затрудняет оценку точного финансового ущерба от перехода на блочные схемограммы (`PRJ-02`) или отмены ретро-бонусов в пользу «чистого Net-Net» (`PRJ-05`).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**Компенсирующий метод:** Анализ открытых коммерческих споров в судах и прессе ([конфликт Ленты и Reckitt Benckiser](https://www.lentagroup.ru/ru/media/news-and-press-releases/gruppa-lenta-otkryla-magazin-pod-brendom-semya-/), [спор К&amp;Б с алкогольными дистрибьюторами](https://www.retail.ru/news/set-krasnoe-beloe-otozvala-spornoe-dopsoglashenie-s-postavshchikami-4-avgusta-2026-280601/)) и регуляторных предписаний ФАС РФ ([ФАС о наценках на социально значимые товары](https://fas.gov.ru/news/33491)).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2.6. Ограничения верификации аппаратного парка Computer Vision и весов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ограничения:** Доля современных весовых комплексов с видеокамерами и стационарных потолочных видеокамер в залах не раскрывается в годовых отчетах. Утверждения поставщиков софта ([TAdviser: СуперМаг Vision в Ленте](https://www.tadviser.ru/index.php/%D0%9F%D1%80%D0%BE%D0%B5%D0%BA%D1%82:%D0%9B%D0%B5%D0%BD%D1%82%D0%B0_%D0%A1%D0%B5%D1%82%D1%8C_%D1%82%D0%BE%D1%80%D0%B3%D0%BE%D0%B2%D0%BB%D0%B8_(%D0%A1%D1%83%D0%BF%D0%B5%D1%80%D0%9C%D0%B0%D0%B3_Vision))) отражают техническую возможность модуля на эталонном стенде, но замалчивают факт несовместимости с устаревшими моделями весов без цифрового видеоинтерфейса.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**Влияние на CatMan-анализ:** Предотвращено ложное признание компьютерного зрения готовым к повсеместному развертыванию во всех торговых залах Top-10 сетей.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**Компенсирующий метод:** Ограничение статуса CV-проектов категорией «высокоэффективные пилоты» с жестким указанием требований к аппаратному парку (Hardware Pre-requisites).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Сводная матрица лакун по ритейлерам Top-10 FMCG РФ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Ритейлер ID | Торговые бренды | Степень открытости данных | Ключевые ненаблюдаемые параметры | Надежные доступные источники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 | :---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**R01** | Пятёрочка, Перекрёсток, Чижик, ОКОЛО | **Высокая** | Точный P&amp;L пофраншизных точек ОКОЛО; доля списаний в кулинарии Select | МСФО X5, X5 Dialog, пресс-релизы, Habr X5 Tech, выступления топ-менеджмента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**R02** | Магнит, Дикси, В1, Магнит Экстра | **Высокая** | Точные сроки сетевого раскатывания in-house F&amp;R; себестоимость собственных агрокомплексов | МСФО Магнит, Magnit Solutions, Habr Magnit Tech, кейсы конференций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**R03** | Красное &amp; Белое, Бристоль | **Критически низкая** | Алгоритмы автозаказа; формулы наценок; условия контрактов с дистрибьюторами | Интервью основателя (EcomHub, Huntflow), реестры ЕГАИС, публикации Retail.ru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**R04** | Гипер Лента, Супер Лента, Монетка | **Средняя** | Экономика интеграции Монетки; процент покрытия весов модулями CV | МСФО Ленты, Lenta Tech, отраслевые кейсы Retail.ru, TAdviser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**R05** | Светофор, Маяк | **Критически низкая** | Консолидированная выручка; матрица поставщиков; структура логистических затрат | Интервью топ-менеджмента, проверки ФАС/Роспотребнадзора, фоторепортажи залов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**R06** | ВкусВилл | **Высокая (качественная)** | Точные условия делистинга СТМ; размер логистических затрат дарксторов | Пресс-центр, интервью C-level, кейсы внедрения CV-ботов, отраслевые конференции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**R07** | Ашан, Атак | **Средняя** | Внутренние результаты пилотов SmartPricing; детали 4 моделей типизации | Пресс-релизы Auchan Retail, публикации Retailer.ru, интервью директоров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**R08** | Metro Cash &amp; Carry, Фасоль | **Средняя** | Доля B2B HoReCa vs B2C в выручке; статус поддержки SAP R/3 | Отчетность METRO AG, отраслевые обзоры CNews/TAdviser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**R09** | Самокат (ООО «Умный ритейл») | **Средняя** | Себестоимость доставки на заказ; списания ультрафреша в дарксторах | Отчетность экосистемы Сбера/Ecom, выступления директоров по закупкам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**R10** | О'КЕЙ, Да! | **Средняя** | График замены западных SCM-систем; финансовые показатели гипермаркетов | МСФО O'Key Group, отраслевые обзоры CNews, пресс-релизы сети «Да!»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Выводы для дальнейших исследовательских циклов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Любые дальнейшие количественные оценки эффекта категорийных инициатив в жестких дискаунтерах («Светофор», «К&amp;Б») должны базироваться на внешних аудитах полок и данных ассоциаций поставщиков.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Проекты в области СТМ (`PRJ-03`) должны проектироваться с запасом устойчивости к отсутствию данных Open-Book, опираясь на внешние котировки товарно-сырьевых рынков.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Проекты динамической уценки (`PRJ-01`) должны в обязательном порядке включать аудит кассового ПО и сканеров 2D DataMatrix в торговых залах до начала алгоритмического пилотирования.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