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 ENTITY SPACE V1</w:t>
      </w:r>
    </w:p>
    <w:p>
      <w:pPr>
        <w:jc w:val="center"/>
      </w:pPr>
      <w:r>
        <w:rPr>
          <w:b/>
        </w:rPr>
        <w:t>RA Memory Architecture — Grid + Indexed Value List</w:t>
      </w:r>
    </w:p>
    <w:p>
      <w:pPr>
        <w:jc w:val="center"/>
      </w:pPr>
      <w:r>
        <w:rPr>
          <w:i/>
        </w:rPr>
        <w:t>Status: ARCHITECTURAL CONCEPT FIXED — low-level representation remains open.</w:t>
      </w:r>
    </w:p>
    <w:p>
      <w:pPr>
        <w:pStyle w:val="Heading1"/>
      </w:pPr>
      <w:r>
        <w:t>1. Definition</w:t>
      </w:r>
    </w:p>
    <w:p>
      <w:r>
        <w:t>Entity Space (ES) is RA's runtime-data memory. It stores the actual values/entities created and used by an executing RA program, while Active Space tracks execution.</w:t>
      </w:r>
    </w:p>
    <w:p>
      <w:pPr>
        <w:pStyle w:val="Heading1"/>
      </w:pPr>
      <w:r>
        <w:t>2. WHY — Purpose</w:t>
      </w:r>
    </w:p>
    <w:p>
      <w:r>
        <w:t>RA needs Entity Space so runtime values do not bloat Active Space. Active Space answers 'what is executing?', while Entity Space answers 'what data currently exists?'.</w:t>
      </w:r>
    </w:p>
    <w:p>
      <w:pPr>
        <w:pStyle w:val="Heading1"/>
      </w:pPr>
      <w:r>
        <w:t>3. Core ES Design</w:t>
      </w:r>
    </w:p>
    <w:p>
      <w:r>
        <w:t>Entity Space uses a Grid of Entity Cells. Each Entity Cell contains an ordered, indexed Value List.</w:t>
      </w:r>
    </w:p>
    <w:p>
      <w:r>
        <w:rPr>
          <w:rFonts w:ascii="Consolas" w:hAnsi="Consolas"/>
          <w:sz w:val="18"/>
        </w:rPr>
        <w:t>ENTITY SPACE</w:t>
        <w:br/>
        <w:br/>
        <w:t>Entity Cell 0</w:t>
        <w:br/>
        <w:br/>
        <w:t>Slot        0        1        2</w:t>
        <w:br/>
        <w:t xml:space="preserve">            ↓        ↓        ↓</w:t>
        <w:br/>
        <w:t xml:space="preserve">       ┌────────┬────────┬────────┐</w:t>
        <w:br/>
        <w:t>List → │  100   │   50   │   20  │</w:t>
        <w:br/>
        <w:t xml:space="preserve">       └────────┴────────┴────────┘</w:t>
        <w:br/>
        <w:t xml:space="preserve">            ↑        ↑        ↑</w:t>
        <w:br/>
        <w:t xml:space="preserve">            x        y        z</w:t>
        <w:br/>
        <w:t xml:space="preserve">       source/debug metadata</w:t>
      </w:r>
    </w:p>
    <w:p>
      <w:pPr>
        <w:pStyle w:val="Heading1"/>
      </w:pPr>
      <w:r>
        <w:t>4. Name → Slot Compilation</w:t>
      </w:r>
    </w:p>
    <w:p>
      <w:r>
        <w:t>Runtime storage does not need to duplicate variable-name strings beside every value. RA Core can compile source entity names into compact Entity Slots.</w:t>
      </w:r>
    </w:p>
    <w:p>
      <w:r>
        <w:rPr>
          <w:rFonts w:ascii="Consolas" w:hAnsi="Consolas"/>
        </w:rPr>
        <w:t>x → slot 0    y → slot 1    z → slot 2</w:t>
      </w:r>
    </w:p>
    <w:p>
      <w:r>
        <w:t>Human-readable names remain available as program/debug metadata when required by the IDE or introspection facilities.</w:t>
      </w:r>
    </w:p>
    <w:p>
      <w:pPr>
        <w:pStyle w:val="Heading1"/>
      </w:pPr>
      <w:r>
        <w:t>5. REI Scope + Slot Access</w:t>
      </w:r>
    </w:p>
    <w:p>
      <w:r>
        <w:t>The existing REI scope encoding is reused:</w:t>
      </w:r>
    </w:p>
    <w:p>
      <w:r>
        <w:rPr>
          <w:rFonts w:ascii="Consolas" w:hAnsi="Consolas"/>
          <w:b/>
        </w:rPr>
        <w:t>0 = Local     |     1 = Global</w:t>
      </w:r>
    </w:p>
    <w:p>
      <w:r>
        <w:t>REI can combine the scope state with a compiled Entity Slot, avoiding normal runtime name searching.</w:t>
      </w:r>
    </w:p>
    <w:p>
      <w:r>
        <w:rPr>
          <w:rFonts w:ascii="Consolas" w:hAnsi="Consolas"/>
        </w:rPr>
        <w:t>Example concept:</w:t>
        <w:br/>
        <w:t>GET 1,0  → Global → slot 0</w:t>
        <w:br/>
        <w:t>GET 0,1  → Local  → current invocation's Entity Cell → slot 1</w:t>
      </w:r>
    </w:p>
    <w:p>
      <w:pPr>
        <w:pStyle w:val="Heading1"/>
      </w:pPr>
      <w:r>
        <w:t>6. Local Entity Cells</w:t>
      </w:r>
    </w:p>
    <w:p>
      <w:r>
        <w:t>A function invocation may use an Entity Cell containing its local/parameter values as an indexed list.</w:t>
      </w:r>
    </w:p>
    <w:p>
      <w:r>
        <w:rPr>
          <w:rFonts w:ascii="Consolas" w:hAnsi="Consolas"/>
        </w:rPr>
        <w:t>fun . play . a, b :</w:t>
        <w:br/>
        <w:t xml:space="preserve">    a = 5</w:t>
        <w:br/>
        <w:t xml:space="preserve">    b = 3</w:t>
        <w:br/>
        <w:t xml:space="preserve">    c = a + b</w:t>
        <w:br/>
        <w:t>f . close</w:t>
      </w:r>
    </w:p>
    <w:p>
      <w:r>
        <w:rPr>
          <w:rFonts w:ascii="Consolas" w:hAnsi="Consolas"/>
        </w:rPr>
        <w:t>AS Cell 4  ─────►  ES local Entity Cell</w:t>
        <w:br/>
        <w:t xml:space="preserve">                   Slot 0   Slot 1   Slot 2</w:t>
        <w:br/>
        <w:t xml:space="preserve">                     5        3        8</w:t>
        <w:br/>
        <w:t xml:space="preserve">                     a        b        c</w:t>
      </w:r>
    </w:p>
    <w:p>
      <w:pPr>
        <w:pStyle w:val="Heading1"/>
      </w:pPr>
      <w:r>
        <w:t>7. Active Space Relationship</w:t>
      </w:r>
    </w:p>
    <w:p>
      <w:r>
        <w:t>For local entities, the current Active Grid Cell identifies the active function invocation. A candidate local lookup identity is therefore (Active Cell ID, Entity Slot).</w:t>
      </w:r>
    </w:p>
    <w:p>
      <w:r>
        <w:t>This supports separate local values for repeated/recursive invocations without storing those values inside Active Space.</w:t>
      </w:r>
    </w:p>
    <w:p>
      <w:pPr>
        <w:pStyle w:val="Heading1"/>
      </w:pPr>
      <w:r>
        <w:t>8. Global Entity Handling</w:t>
      </w:r>
    </w:p>
    <w:p>
      <w:r>
        <w:t>Global entities are resolved through the global Entity area/group using scope state 1 plus the compiled Entity Slot. They are not tied to one function invocation.</w:t>
      </w:r>
    </w:p>
    <w:p>
      <w:pPr>
        <w:pStyle w:val="Heading1"/>
      </w:pPr>
      <w:r>
        <w:t>9. Lifetime and Reuse</w:t>
      </w:r>
    </w:p>
    <w:p>
      <w:pPr>
        <w:pStyle w:val="ListBullet"/>
      </w:pPr>
      <w:r>
        <w:t>Local Entity Cells are associated with the lifetime of their owning function invocation.</w:t>
      </w:r>
    </w:p>
    <w:p>
      <w:pPr>
        <w:pStyle w:val="ListBullet"/>
      </w:pPr>
      <w:r>
        <w:t>When that invocation ends, its local Entity Cell/list becomes eligible for reclaim/reuse.</w:t>
      </w:r>
    </w:p>
    <w:p>
      <w:pPr>
        <w:pStyle w:val="ListBullet"/>
      </w:pPr>
      <w:r>
        <w:t>Global entities follow the broader program/module lifetime defined by RA's final lifecycle rules.</w:t>
      </w:r>
    </w:p>
    <w:p>
      <w:pPr>
        <w:pStyle w:val="ListBullet"/>
      </w:pPr>
      <w:r>
        <w:t>The Grid provides grouped lifetime management; the indexed Value List provides direct positional access.</w:t>
      </w:r>
    </w:p>
    <w:p>
      <w:pPr>
        <w:pStyle w:val="Heading1"/>
      </w:pPr>
      <w:r>
        <w:t>10. Relationship with RA Memory Spaces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Space</w:t>
            </w:r>
          </w:p>
        </w:tc>
        <w:tc>
          <w:tcPr>
            <w:tcW w:type="dxa" w:w="5040"/>
          </w:tcPr>
          <w:p>
            <w:r>
              <w:t>Responsibility</w:t>
            </w:r>
          </w:p>
        </w:tc>
      </w:tr>
      <w:tr>
        <w:tc>
          <w:tcPr>
            <w:tcW w:type="dxa" w:w="5040"/>
          </w:tcPr>
          <w:p>
            <w:r>
              <w:t>Program Space</w:t>
            </w:r>
          </w:p>
        </w:tc>
        <w:tc>
          <w:tcPr>
            <w:tcW w:type="dxa" w:w="5040"/>
          </w:tcPr>
          <w:p>
            <w:r>
              <w:t>Executable program representation and program metadata.</w:t>
            </w:r>
          </w:p>
        </w:tc>
      </w:tr>
      <w:tr>
        <w:tc>
          <w:tcPr>
            <w:tcW w:type="dxa" w:w="5040"/>
          </w:tcPr>
          <w:p>
            <w:r>
              <w:t>Active Space</w:t>
            </w:r>
          </w:p>
        </w:tc>
        <w:tc>
          <w:tcPr>
            <w:tcW w:type="dxa" w:w="5040"/>
          </w:tcPr>
          <w:p>
            <w:r>
              <w:t>Current execution path, Active Grid cells and REI execution positions.</w:t>
            </w:r>
          </w:p>
        </w:tc>
      </w:tr>
      <w:tr>
        <w:tc>
          <w:tcPr>
            <w:tcW w:type="dxa" w:w="5040"/>
          </w:tcPr>
          <w:p>
            <w:r>
              <w:t>Entity Space</w:t>
            </w:r>
          </w:p>
        </w:tc>
        <w:tc>
          <w:tcPr>
            <w:tcW w:type="dxa" w:w="5040"/>
          </w:tcPr>
          <w:p>
            <w:r>
              <w:t>Actual runtime values/entities organized by Entity Grid + indexed Value Lists.</w:t>
            </w:r>
          </w:p>
        </w:tc>
      </w:tr>
      <w:tr>
        <w:tc>
          <w:tcPr>
            <w:tcW w:type="dxa" w:w="5040"/>
          </w:tcPr>
          <w:p>
            <w:r>
              <w:t>Work Space</w:t>
            </w:r>
          </w:p>
        </w:tc>
        <w:tc>
          <w:tcPr>
            <w:tcW w:type="dxa" w:w="5040"/>
          </w:tcPr>
          <w:p>
            <w:r>
              <w:t>Temporary/intermediate calculations.</w:t>
            </w:r>
          </w:p>
        </w:tc>
      </w:tr>
    </w:tbl>
    <w:p>
      <w:pPr>
        <w:pStyle w:val="Heading1"/>
      </w:pPr>
      <w:r>
        <w:t>11. Why List + Grid</w:t>
      </w:r>
    </w:p>
    <w:p>
      <w:pPr>
        <w:pStyle w:val="ListBullet"/>
      </w:pPr>
      <w:r>
        <w:t>Grid groups entities by runtime ownership/lifetime.</w:t>
      </w:r>
    </w:p>
    <w:p>
      <w:pPr>
        <w:pStyle w:val="ListBullet"/>
      </w:pPr>
      <w:r>
        <w:t>List gives deterministic ordering inside an Entity Cell.</w:t>
      </w:r>
    </w:p>
    <w:p>
      <w:pPr>
        <w:pStyle w:val="ListBullet"/>
      </w:pPr>
      <w:r>
        <w:t>Compiled slots permit direct positional access instead of repeated variable-name searches.</w:t>
      </w:r>
    </w:p>
    <w:p>
      <w:pPr>
        <w:pStyle w:val="ListBullet"/>
      </w:pPr>
      <w:r>
        <w:t>Grouped local storage can reduce many small independent allocations.</w:t>
      </w:r>
    </w:p>
    <w:p>
      <w:pPr>
        <w:pStyle w:val="ListBullet"/>
      </w:pPr>
      <w:r>
        <w:t>Names can remain outside the hot runtime value path.</w:t>
      </w:r>
    </w:p>
    <w:p>
      <w:pPr>
        <w:pStyle w:val="Heading1"/>
      </w:pPr>
      <w:r>
        <w:t>12. Fixed V1 Decisions</w:t>
      </w:r>
    </w:p>
    <w:p>
      <w:pPr>
        <w:pStyle w:val="ListBullet"/>
      </w:pPr>
      <w:r>
        <w:t>Entity Space is RA runtime-data memory.</w:t>
      </w:r>
    </w:p>
    <w:p>
      <w:pPr>
        <w:pStyle w:val="ListBullet"/>
      </w:pPr>
      <w:r>
        <w:t>ES uses a Grid of Entity Cells.</w:t>
      </w:r>
    </w:p>
    <w:p>
      <w:pPr>
        <w:pStyle w:val="ListBullet"/>
      </w:pPr>
      <w:r>
        <w:t>Each Entity Cell contains an indexed Value List.</w:t>
      </w:r>
    </w:p>
    <w:p>
      <w:pPr>
        <w:pStyle w:val="ListBullet"/>
      </w:pPr>
      <w:r>
        <w:t>Runtime entity names are compiled to Entity Slots rather than necessarily stored beside every value.</w:t>
      </w:r>
    </w:p>
    <w:p>
      <w:pPr>
        <w:pStyle w:val="ListBullet"/>
      </w:pPr>
      <w:r>
        <w:t>REI uses 0 = Local and 1 = Global together with an Entity Slot.</w:t>
      </w:r>
    </w:p>
    <w:p>
      <w:pPr>
        <w:pStyle w:val="ListBullet"/>
      </w:pPr>
      <w:r>
        <w:t>Local resolution uses the current Active invocation/Cell to reach the correct local Entity Cell.</w:t>
      </w:r>
    </w:p>
    <w:p>
      <w:pPr>
        <w:pStyle w:val="ListBullet"/>
      </w:pPr>
      <w:r>
        <w:t>Global resolution uses the global Entity area/group.</w:t>
      </w:r>
    </w:p>
    <w:p>
      <w:pPr>
        <w:pStyle w:val="ListBullet"/>
      </w:pPr>
      <w:r>
        <w:t>Local Entity Cells become reusable when their owning invocation ends.</w:t>
      </w:r>
    </w:p>
    <w:p>
      <w:pPr>
        <w:pStyle w:val="Heading1"/>
      </w:pPr>
      <w:r>
        <w:t>13. Intentionally Open</w:t>
      </w:r>
    </w:p>
    <w:p>
      <w:pPr>
        <w:pStyle w:val="ListBullet"/>
      </w:pPr>
      <w:r>
        <w:t>Entity Grid dimensions, growth policy and limits.</w:t>
      </w:r>
    </w:p>
    <w:p>
      <w:pPr>
        <w:pStyle w:val="ListBullet"/>
      </w:pPr>
      <w:r>
        <w:t>Exact Entity Slot bit width.</w:t>
      </w:r>
    </w:p>
    <w:p>
      <w:pPr>
        <w:pStyle w:val="ListBullet"/>
      </w:pPr>
      <w:r>
        <w:t>Exact physical Value representation.</w:t>
      </w:r>
    </w:p>
    <w:p>
      <w:pPr>
        <w:pStyle w:val="ListBullet"/>
      </w:pPr>
      <w:r>
        <w:t>Handling/storage strategy for large or dynamically sized strings, arrays and objects.</w:t>
      </w:r>
    </w:p>
    <w:p>
      <w:pPr>
        <w:pStyle w:val="ListBullet"/>
      </w:pPr>
      <w:r>
        <w:t>Whether small values are inline and large values use compact RA references.</w:t>
      </w:r>
    </w:p>
    <w:p>
      <w:pPr>
        <w:pStyle w:val="ListBullet"/>
      </w:pPr>
      <w:r>
        <w:t>Physical allocator layout and packing.</w:t>
      </w:r>
    </w:p>
    <w:p>
      <w:pPr>
        <w:pStyle w:val="ListBullet"/>
      </w:pPr>
      <w:r>
        <w:t>Detailed global lifetime/reclaim policy.</w:t>
      </w:r>
    </w:p>
    <w:p>
      <w:pPr>
        <w:pStyle w:val="ListBullet"/>
      </w:pPr>
      <w:r>
        <w:t>Concurrency/async ownership rules.</w:t>
      </w:r>
    </w:p>
    <w:p>
      <w:pPr>
        <w:pStyle w:val="Heading1"/>
      </w:pPr>
      <w:r>
        <w:t>14. Entity Space V1 Summary</w:t>
      </w:r>
    </w:p>
    <w:p>
      <w:r>
        <w:rPr>
          <w:b/>
        </w:rPr>
        <w:t>Entity Space = Grid of Entity Cells → each cell holds an indexed Value List → source names compile to slots → REI uses scope bit (0 Local / 1 Global) + slot → local lifetime follows the active invocation → released local cells are reusable.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