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 PROGRAM SPACE V1</w:t>
      </w:r>
    </w:p>
    <w:p>
      <w:pPr>
        <w:jc w:val="center"/>
      </w:pPr>
      <w:r>
        <w:rPr>
          <w:b/>
        </w:rPr>
        <w:t>RA Memory Architecture — Program Space Logical Structure</w:t>
      </w:r>
    </w:p>
    <w:p>
      <w:pPr>
        <w:jc w:val="center"/>
      </w:pPr>
      <w:r>
        <w:rPr>
          <w:i/>
        </w:rPr>
        <w:t>Status: LOGICAL STRUCTURE FROZEN — internal encoding/physical layout remains open.</w:t>
      </w:r>
    </w:p>
    <w:p>
      <w:pPr>
        <w:pStyle w:val="Heading1"/>
      </w:pPr>
      <w:r>
        <w:t>1. One-Line Definition</w:t>
      </w:r>
    </w:p>
    <w:p>
      <w:r>
        <w:t>Program Space is the RA Memory area that stores a program's ready-to-execute code so RA Execution can run it quickly.</w:t>
      </w:r>
    </w:p>
    <w:p>
      <w:pPr>
        <w:pStyle w:val="Heading1"/>
      </w:pPr>
      <w:r>
        <w:t>2. WHY RA Needs Program Space</w:t>
      </w:r>
    </w:p>
    <w:p>
      <w:r>
        <w:t>RA Execution needs a ready-to-run representation after RA Core has understood and validated the .ra source/module file.</w:t>
      </w:r>
    </w:p>
    <w:p>
      <w:r>
        <w:rPr>
          <w:rFonts w:ascii="Consolas" w:hAnsi="Consolas"/>
          <w:sz w:val="20"/>
        </w:rPr>
        <w:t>.ra Source → RA Core → RA IR → RA Executable Instructions (REI) → Program Space → RA Execution</w:t>
      </w:r>
    </w:p>
    <w:p>
      <w:r>
        <w:t>Primary goal: avoid repeatedly parsing and semantically analyzing source during execution.</w:t>
      </w:r>
    </w:p>
    <w:p>
      <w:pPr>
        <w:pStyle w:val="Heading1"/>
      </w:pPr>
      <w:r>
        <w:t>3. WHAT Program Space Contains</w:t>
      </w:r>
    </w:p>
    <w:p>
      <w:r>
        <w:rPr>
          <w:b/>
        </w:rPr>
        <w:t xml:space="preserve">Module Metadata / Module Table — </w:t>
      </w:r>
      <w:r>
        <w:t>Tracks loaded .ra modules and maps each module to its executable instruction range and required program metadata.</w:t>
      </w:r>
    </w:p>
    <w:p>
      <w:r>
        <w:rPr>
          <w:b/>
        </w:rPr>
        <w:t xml:space="preserve">REI Instruction Area — </w:t>
      </w:r>
      <w:r>
        <w:t>Stores RA Executable Instructions. This is the core of Program Space and is the representation directly consumed by RA Execution.</w:t>
      </w:r>
    </w:p>
    <w:p>
      <w:r>
        <w:rPr>
          <w:b/>
        </w:rPr>
        <w:t xml:space="preserve">Constant Area — </w:t>
      </w:r>
      <w:r>
        <w:t>Stores immutable constants/literals that are beneficial to share or reference rather than repeatedly allocate.</w:t>
      </w:r>
    </w:p>
    <w:p>
      <w:r>
        <w:rPr>
          <w:b/>
        </w:rPr>
        <w:t xml:space="preserve">Code Map — </w:t>
      </w:r>
      <w:r>
        <w:t>Provides compact REI-to-.ra source mapping for diagnostics, debugging and source navigation.</w:t>
      </w:r>
    </w:p>
    <w:p>
      <w:pPr>
        <w:pStyle w:val="Heading1"/>
      </w:pPr>
      <w:r>
        <w:t>4. Logical Diagram</w:t>
      </w:r>
    </w:p>
    <w:p>
      <w:r>
        <w:rPr>
          <w:rFonts w:ascii="Consolas" w:hAnsi="Consolas"/>
          <w:sz w:val="17"/>
        </w:rPr>
        <w:t>╔══════════════════════════════════════════════╗</w:t>
        <w:br/>
        <w:t>║               PROGRAM SPACE                  ║</w:t>
        <w:br/>
        <w:t>║                                              ║</w:t>
        <w:br/>
        <w:t>║  ┌────────────────────────────────────────┐  ║</w:t>
        <w:br/>
        <w:t>║  │ 1. MODULE METADATA / TABLE           │  ║</w:t>
        <w:br/>
        <w:t>║  │    .ra module → REI instruction range│  ║</w:t>
        <w:br/>
        <w:t>║  └────────────────────────────────────────┘  ║</w:t>
        <w:br/>
        <w:t>║                                              ║</w:t>
        <w:br/>
        <w:t>║  ┌────────────────────────────────────────┐  ║</w:t>
        <w:br/>
        <w:t>║  │ 2. REI INSTRUCTION AREA              │  ║</w:t>
        <w:br/>
        <w:t>║  │    [instruction][instruction][...]    │  ║</w:t>
        <w:br/>
        <w:t>║  └────────────────────────────────────────┘  ║</w:t>
        <w:br/>
        <w:t>║                                              ║</w:t>
        <w:br/>
        <w:t>║  ┌────────────────────────────────────────┐  ║</w:t>
        <w:br/>
        <w:t>║  │ 3. CONSTANT AREA                     │  ║</w:t>
        <w:br/>
        <w:t>║  │    reusable immutable literals        │  ║</w:t>
        <w:br/>
        <w:t>║  └────────────────────────────────────────┘  ║</w:t>
        <w:br/>
        <w:t>║                                              ║</w:t>
        <w:br/>
        <w:t>║  ┌────────────────────────────────────────┐  ║</w:t>
        <w:br/>
        <w:t>║  │ 4. CODE MAP                          │  ║</w:t>
        <w:br/>
        <w:t>║  │    REI ↔ .ra source location          │  ║</w:t>
        <w:br/>
        <w:t>║  └────────────────────────────────────────┘  ║</w:t>
        <w:br/>
        <w:t>╚══════════════════════════════════════════════╝</w:t>
      </w:r>
    </w:p>
    <w:p>
      <w:pPr>
        <w:pStyle w:val="Heading1"/>
      </w:pPr>
      <w:r>
        <w:t>5. HOW Program Space Operates</w:t>
      </w:r>
    </w:p>
    <w:p>
      <w:pPr>
        <w:pStyle w:val="ListNumber"/>
      </w:pPr>
      <w:r>
        <w:t>A .ra source/module enters RA Core.</w:t>
      </w:r>
    </w:p>
    <w:p>
      <w:pPr>
        <w:pStyle w:val="ListNumber"/>
      </w:pPr>
      <w:r>
        <w:t>Lexer, Parser, structured syntax/AST and Semantic Analysis validate and understand it.</w:t>
      </w:r>
    </w:p>
    <w:p>
      <w:pPr>
        <w:pStyle w:val="ListNumber"/>
      </w:pPr>
      <w:r>
        <w:t>RA Core may produce RA IR for internal transformation/optimization.</w:t>
      </w:r>
    </w:p>
    <w:p>
      <w:pPr>
        <w:pStyle w:val="ListNumber"/>
      </w:pPr>
      <w:r>
        <w:t>RA IR is lowered into RA Executable Instructions (REI).</w:t>
      </w:r>
    </w:p>
    <w:p>
      <w:pPr>
        <w:pStyle w:val="ListNumber"/>
      </w:pPr>
      <w:r>
        <w:t>REI, required constants, module metadata and compact Code Map information are loaded into Program Space.</w:t>
      </w:r>
    </w:p>
    <w:p>
      <w:pPr>
        <w:pStyle w:val="ListNumber"/>
      </w:pPr>
      <w:r>
        <w:t>RA Execution reads REI from Program Space.</w:t>
      </w:r>
    </w:p>
    <w:p>
      <w:pPr>
        <w:pStyle w:val="ListNumber"/>
      </w:pPr>
      <w:r>
        <w:t>When the program/session lifetime ends, Program Space storage is reclaimed and made reusable.</w:t>
      </w:r>
    </w:p>
    <w:p>
      <w:pPr>
        <w:pStyle w:val="Heading1"/>
      </w:pPr>
      <w:r>
        <w:t>6. WHICH Representation Is Selected</w:t>
      </w:r>
    </w:p>
    <w:p>
      <w:r>
        <w:t>Selected direction: RA-specific executable instruction format.</w:t>
      </w:r>
    </w:p>
    <w:p>
      <w:r>
        <w:rPr>
          <w:b/>
        </w:rPr>
        <w:t>RA IR = compiler/internal working representation.</w:t>
        <w:br/>
        <w:t>REI = final RA-specific executable representation stored in Program Space.</w:t>
      </w:r>
    </w:p>
    <w:p>
      <w:r>
        <w:t>Traditional bytecode is not frozen as RA's execution model. REI may be byte-encoded internally later, but its architecture is defined around RA Execution and RA Memory rather than assuming a conventional stack VM.</w:t>
      </w:r>
    </w:p>
    <w:p>
      <w:pPr>
        <w:pStyle w:val="Heading1"/>
      </w:pPr>
      <w:r>
        <w:t>7. .ra File Definition</w:t>
      </w:r>
    </w:p>
    <w:p>
      <w:r>
        <w:t>.ra is the RA source/module file, analogous in role to a Python .py source/module file. It contains human-readable RA source code; it is not the Program Space executable representation.</w:t>
      </w:r>
    </w:p>
    <w:p>
      <w:pPr>
        <w:pStyle w:val="Heading1"/>
      </w:pPr>
      <w:r>
        <w:t>8. What Does NOT Belong in Program Space</w:t>
      </w:r>
    </w:p>
    <w:p>
      <w:pPr>
        <w:pStyle w:val="ListBullet"/>
      </w:pPr>
      <w:r>
        <w:t>AST after it is no longer required for compilation/debug services.</w:t>
      </w:r>
    </w:p>
    <w:p>
      <w:pPr>
        <w:pStyle w:val="ListBullet"/>
      </w:pPr>
      <w:r>
        <w:t>RA IR after REI generation when no longer required.</w:t>
      </w:r>
    </w:p>
    <w:p>
      <w:pPr>
        <w:pStyle w:val="ListBullet"/>
      </w:pPr>
      <w:r>
        <w:t>Mutable variables and runtime objects — Entity Space.</w:t>
      </w:r>
    </w:p>
    <w:p>
      <w:pPr>
        <w:pStyle w:val="ListBullet"/>
      </w:pPr>
      <w:r>
        <w:t>Temporary/intermediate calculation results — Work Space.</w:t>
      </w:r>
    </w:p>
    <w:p>
      <w:pPr>
        <w:pStyle w:val="ListBullet"/>
      </w:pPr>
      <w:r>
        <w:t>Current calls and local execution state — Active Space.</w:t>
      </w:r>
    </w:p>
    <w:p>
      <w:pPr>
        <w:pStyle w:val="ListBullet"/>
      </w:pPr>
      <w:r>
        <w:t>Database records/ER relationships — RA Database.</w:t>
      </w:r>
    </w:p>
    <w:p>
      <w:pPr>
        <w:pStyle w:val="Heading1"/>
      </w:pPr>
      <w:r>
        <w:t>9. Efficiency Rules</w:t>
      </w:r>
    </w:p>
    <w:p>
      <w:pPr>
        <w:pStyle w:val="ListBullet"/>
      </w:pPr>
      <w:r>
        <w:t>Keep Program Space compact, read-mostly and cache-friendly.</w:t>
      </w:r>
    </w:p>
    <w:p>
      <w:pPr>
        <w:pStyle w:val="ListBullet"/>
      </w:pPr>
      <w:r>
        <w:t>Do not reserve four rigid physical RAM blocks for its logical sections.</w:t>
      </w:r>
    </w:p>
    <w:p>
      <w:pPr>
        <w:pStyle w:val="ListBullet"/>
      </w:pPr>
      <w:r>
        <w:t>Module Metadata and Code Map may later share/pack physical metadata storage.</w:t>
      </w:r>
    </w:p>
    <w:p>
      <w:pPr>
        <w:pStyle w:val="ListBullet"/>
      </w:pPr>
      <w:r>
        <w:t>Tiny literals may be encoded directly in REI when cheaper than a Constant Area lookup.</w:t>
      </w:r>
    </w:p>
    <w:p>
      <w:pPr>
        <w:pStyle w:val="ListBullet"/>
      </w:pPr>
      <w:r>
        <w:t>Avoid unnecessary runtime allocations while executing REI.</w:t>
      </w:r>
    </w:p>
    <w:p>
      <w:pPr>
        <w:pStyle w:val="Heading1"/>
      </w:pPr>
      <w:r>
        <w:t>10. Frozen vs Open</w:t>
      </w:r>
    </w:p>
    <w:p>
      <w:r>
        <w:t>FROZEN:</w:t>
      </w:r>
    </w:p>
    <w:p>
      <w:pPr>
        <w:pStyle w:val="ListBullet"/>
      </w:pPr>
      <w:r>
        <w:t>Program Space purpose.</w:t>
      </w:r>
    </w:p>
    <w:p>
      <w:pPr>
        <w:pStyle w:val="ListBullet"/>
      </w:pPr>
      <w:r>
        <w:t>Four logical responsibilities: Module Metadata, REI, Constants, Code Map.</w:t>
      </w:r>
    </w:p>
    <w:p>
      <w:pPr>
        <w:pStyle w:val="ListBullet"/>
      </w:pPr>
      <w:r>
        <w:t>.ra as RA source/module file.</w:t>
      </w:r>
    </w:p>
    <w:p>
      <w:pPr>
        <w:pStyle w:val="ListBullet"/>
      </w:pPr>
      <w:r>
        <w:t>REI as Program Space's selected executable representation direction.</w:t>
      </w:r>
    </w:p>
    <w:p>
      <w:r>
        <w:t>OPEN:</w:t>
      </w:r>
    </w:p>
    <w:p>
      <w:pPr>
        <w:pStyle w:val="ListBullet"/>
      </w:pPr>
      <w:r>
        <w:t>Exact REI instruction encoding and width.</w:t>
      </w:r>
    </w:p>
    <w:p>
      <w:pPr>
        <w:pStyle w:val="ListBullet"/>
      </w:pPr>
      <w:r>
        <w:t>Exact RA IR design.</w:t>
      </w:r>
    </w:p>
    <w:p>
      <w:pPr>
        <w:pStyle w:val="ListBullet"/>
      </w:pPr>
      <w:r>
        <w:t>Physical packing of the four logical structures.</w:t>
      </w:r>
    </w:p>
    <w:p>
      <w:pPr>
        <w:pStyle w:val="ListBullet"/>
      </w:pPr>
      <w:r>
        <w:t>Constant encoding/inlining rules.</w:t>
      </w:r>
    </w:p>
    <w:p>
      <w:pPr>
        <w:pStyle w:val="ListBullet"/>
      </w:pPr>
      <w:r>
        <w:t>Code Map compression format.</w:t>
      </w:r>
    </w:p>
    <w:p>
      <w:pPr>
        <w:pStyle w:val="ListBullet"/>
      </w:pPr>
      <w:r>
        <w:t>Future relationship between REI and .rab.</w:t>
      </w:r>
    </w:p>
    <w:p>
      <w:pPr>
        <w:pStyle w:val="Heading1"/>
      </w:pPr>
      <w:r>
        <w:t>11. Next Architecture Step</w:t>
      </w:r>
    </w:p>
    <w:p>
      <w:r>
        <w:t>Apply the same WHY → WHAT → HOW → WHICH process to Active Space.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